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A2E7" w14:textId="5BDEEC49" w:rsidR="0004786D" w:rsidRPr="004D2231" w:rsidRDefault="009B00F2" w:rsidP="00607C6C">
      <w:pPr>
        <w:pBdr>
          <w:top w:val="single" w:sz="4" w:space="1" w:color="auto"/>
          <w:left w:val="single" w:sz="4" w:space="4" w:color="auto"/>
          <w:bottom w:val="single" w:sz="4" w:space="1" w:color="auto"/>
          <w:right w:val="single" w:sz="4" w:space="4" w:color="auto"/>
        </w:pBdr>
        <w:spacing w:before="240" w:after="240"/>
        <w:jc w:val="center"/>
        <w:rPr>
          <w:rFonts w:ascii="Times New Roman" w:hAnsi="Times New Roman" w:cs="Times New Roman"/>
          <w:b/>
          <w:bCs/>
          <w:sz w:val="22"/>
        </w:rPr>
      </w:pPr>
      <w:r>
        <w:rPr>
          <w:rFonts w:ascii="Times New Roman" w:hAnsi="Times New Roman" w:cs="Times New Roman"/>
          <w:b/>
          <w:bCs/>
          <w:sz w:val="22"/>
        </w:rPr>
        <w:t xml:space="preserve">ANNEXE : </w:t>
      </w:r>
      <w:r w:rsidR="0004786D" w:rsidRPr="004D2231">
        <w:rPr>
          <w:rFonts w:ascii="Times New Roman" w:hAnsi="Times New Roman" w:cs="Times New Roman"/>
          <w:b/>
          <w:bCs/>
          <w:sz w:val="22"/>
        </w:rPr>
        <w:t>Mentions à faire apparaître dans les devis</w:t>
      </w:r>
      <w:r w:rsidR="00133C6E" w:rsidRPr="004D2231">
        <w:rPr>
          <w:rFonts w:ascii="Times New Roman" w:hAnsi="Times New Roman" w:cs="Times New Roman"/>
          <w:b/>
          <w:bCs/>
          <w:sz w:val="22"/>
        </w:rPr>
        <w:t>/factures qualification chantier</w:t>
      </w:r>
    </w:p>
    <w:p w14:paraId="04754146" w14:textId="21B89F66" w:rsidR="000B7174" w:rsidRPr="004D2231" w:rsidRDefault="0093779B" w:rsidP="00F074CE">
      <w:pPr>
        <w:pStyle w:val="TableParagraph"/>
        <w:tabs>
          <w:tab w:val="left" w:pos="454"/>
        </w:tabs>
        <w:jc w:val="both"/>
        <w:rPr>
          <w:rFonts w:ascii="Times New Roman" w:hAnsi="Times New Roman" w:cs="Times New Roman"/>
        </w:rPr>
      </w:pPr>
      <w:r w:rsidRPr="004D2231">
        <w:rPr>
          <w:rFonts w:ascii="Times New Roman" w:hAnsi="Times New Roman" w:cs="Times New Roman"/>
        </w:rPr>
        <w:tab/>
      </w:r>
      <w:r w:rsidR="00D94951" w:rsidRPr="004D2231">
        <w:rPr>
          <w:rFonts w:ascii="Times New Roman" w:hAnsi="Times New Roman" w:cs="Times New Roman"/>
        </w:rPr>
        <w:t xml:space="preserve">Dans le cadre de la qualification chantier, </w:t>
      </w:r>
      <w:r w:rsidR="00851173" w:rsidRPr="004D2231">
        <w:rPr>
          <w:rFonts w:ascii="Times New Roman" w:hAnsi="Times New Roman" w:cs="Times New Roman"/>
        </w:rPr>
        <w:t>un certain nombre de</w:t>
      </w:r>
      <w:r w:rsidR="00D94951" w:rsidRPr="004D2231">
        <w:rPr>
          <w:rFonts w:ascii="Times New Roman" w:hAnsi="Times New Roman" w:cs="Times New Roman"/>
        </w:rPr>
        <w:t xml:space="preserve"> </w:t>
      </w:r>
      <w:r w:rsidR="00D94951" w:rsidRPr="004D2231">
        <w:rPr>
          <w:rFonts w:ascii="Times New Roman" w:hAnsi="Times New Roman" w:cs="Times New Roman"/>
          <w:b/>
          <w:bCs/>
        </w:rPr>
        <w:t>mentions</w:t>
      </w:r>
      <w:r w:rsidR="00192B78" w:rsidRPr="004D2231">
        <w:rPr>
          <w:rFonts w:ascii="Times New Roman" w:hAnsi="Times New Roman" w:cs="Times New Roman"/>
          <w:b/>
          <w:bCs/>
        </w:rPr>
        <w:t xml:space="preserve"> </w:t>
      </w:r>
      <w:r w:rsidR="00D94951" w:rsidRPr="004D2231">
        <w:rPr>
          <w:rFonts w:ascii="Times New Roman" w:hAnsi="Times New Roman" w:cs="Times New Roman"/>
        </w:rPr>
        <w:t>doivent apparaître</w:t>
      </w:r>
      <w:r w:rsidR="00E015FD" w:rsidRPr="004D2231">
        <w:rPr>
          <w:rFonts w:ascii="Times New Roman" w:hAnsi="Times New Roman" w:cs="Times New Roman"/>
        </w:rPr>
        <w:t xml:space="preserve">, à la fois, </w:t>
      </w:r>
      <w:r w:rsidR="00E015FD" w:rsidRPr="004D2231">
        <w:rPr>
          <w:rFonts w:ascii="Times New Roman" w:hAnsi="Times New Roman" w:cs="Times New Roman"/>
          <w:b/>
          <w:bCs/>
        </w:rPr>
        <w:t xml:space="preserve">dans </w:t>
      </w:r>
      <w:r w:rsidR="00533320" w:rsidRPr="004D2231">
        <w:rPr>
          <w:rFonts w:ascii="Times New Roman" w:hAnsi="Times New Roman" w:cs="Times New Roman"/>
          <w:b/>
          <w:bCs/>
        </w:rPr>
        <w:t>les devis</w:t>
      </w:r>
      <w:r w:rsidR="00E015FD" w:rsidRPr="004D2231">
        <w:rPr>
          <w:rFonts w:ascii="Times New Roman" w:hAnsi="Times New Roman" w:cs="Times New Roman"/>
          <w:b/>
          <w:bCs/>
        </w:rPr>
        <w:t xml:space="preserve"> et </w:t>
      </w:r>
      <w:r w:rsidR="00533320" w:rsidRPr="004D2231">
        <w:rPr>
          <w:rFonts w:ascii="Times New Roman" w:hAnsi="Times New Roman" w:cs="Times New Roman"/>
          <w:b/>
          <w:bCs/>
        </w:rPr>
        <w:t>factures</w:t>
      </w:r>
      <w:r w:rsidR="0069016A" w:rsidRPr="004D2231">
        <w:rPr>
          <w:rFonts w:ascii="Times New Roman" w:hAnsi="Times New Roman" w:cs="Times New Roman"/>
        </w:rPr>
        <w:t> ;</w:t>
      </w:r>
      <w:r w:rsidR="00192B78" w:rsidRPr="004D2231">
        <w:rPr>
          <w:rFonts w:ascii="Times New Roman" w:hAnsi="Times New Roman" w:cs="Times New Roman"/>
        </w:rPr>
        <w:t xml:space="preserve"> cependant </w:t>
      </w:r>
      <w:r w:rsidR="005220B2" w:rsidRPr="004D2231">
        <w:rPr>
          <w:rFonts w:ascii="Times New Roman" w:hAnsi="Times New Roman" w:cs="Times New Roman"/>
        </w:rPr>
        <w:t>certaines mentions ne sont obligatoires qu’au stade du devis</w:t>
      </w:r>
      <w:r w:rsidR="00707511" w:rsidRPr="004D2231">
        <w:rPr>
          <w:rFonts w:ascii="Times New Roman" w:hAnsi="Times New Roman" w:cs="Times New Roman"/>
        </w:rPr>
        <w:t xml:space="preserve"> (cf. précisions ci-dessous)</w:t>
      </w:r>
      <w:r w:rsidR="00851173" w:rsidRPr="004D2231">
        <w:rPr>
          <w:rFonts w:ascii="Times New Roman" w:hAnsi="Times New Roman" w:cs="Times New Roman"/>
        </w:rPr>
        <w:t>.</w:t>
      </w:r>
      <w:r w:rsidR="00F074CE" w:rsidRPr="004D2231">
        <w:rPr>
          <w:rFonts w:ascii="Times New Roman" w:hAnsi="Times New Roman" w:cs="Times New Roman"/>
        </w:rPr>
        <w:t xml:space="preserve"> Lors du contrôle de réalisation, l</w:t>
      </w:r>
      <w:r w:rsidR="000B7174" w:rsidRPr="004D2231">
        <w:rPr>
          <w:rFonts w:ascii="Times New Roman" w:hAnsi="Times New Roman" w:cs="Times New Roman"/>
        </w:rPr>
        <w:t>’auditeur vérifiera la cohérence devis/facture/travaux réalisés.</w:t>
      </w:r>
    </w:p>
    <w:p w14:paraId="443E2EE8" w14:textId="77777777" w:rsidR="00704E4D" w:rsidRPr="004D2231" w:rsidRDefault="00704E4D" w:rsidP="00704E4D">
      <w:pPr>
        <w:pStyle w:val="TableParagraph"/>
        <w:tabs>
          <w:tab w:val="left" w:pos="454"/>
        </w:tabs>
        <w:spacing w:before="0"/>
        <w:ind w:left="454" w:hanging="346"/>
        <w:jc w:val="both"/>
        <w:rPr>
          <w:rFonts w:ascii="Times New Roman" w:hAnsi="Times New Roman" w:cs="Times New Roman"/>
        </w:rPr>
      </w:pPr>
    </w:p>
    <w:p w14:paraId="07AA8A12" w14:textId="616F4CF4" w:rsidR="00704E4D" w:rsidRPr="004D2231" w:rsidRDefault="00704E4D" w:rsidP="00DD07F5">
      <w:pPr>
        <w:pStyle w:val="TableParagraph"/>
        <w:tabs>
          <w:tab w:val="left" w:pos="454"/>
        </w:tabs>
        <w:jc w:val="both"/>
        <w:rPr>
          <w:rFonts w:ascii="Times New Roman" w:hAnsi="Times New Roman" w:cs="Times New Roman"/>
          <w:spacing w:val="-7"/>
        </w:rPr>
      </w:pPr>
      <w:r w:rsidRPr="004D2231">
        <w:rPr>
          <w:rFonts w:ascii="Times New Roman" w:hAnsi="Times New Roman" w:cs="Times New Roman"/>
          <w:b/>
          <w:bCs/>
          <w:color w:val="000000" w:themeColor="text1"/>
        </w:rPr>
        <w:tab/>
        <w:t>Important :</w:t>
      </w:r>
      <w:r w:rsidRPr="004D2231">
        <w:rPr>
          <w:rFonts w:ascii="Times New Roman" w:hAnsi="Times New Roman" w:cs="Times New Roman"/>
          <w:color w:val="000000" w:themeColor="text1"/>
        </w:rPr>
        <w:t xml:space="preserve"> </w:t>
      </w:r>
      <w:r w:rsidRPr="004D2231">
        <w:rPr>
          <w:rFonts w:ascii="Times New Roman" w:hAnsi="Times New Roman" w:cs="Times New Roman"/>
        </w:rPr>
        <w:t>c’est l’organisme de qualification (QUALIBAT</w:t>
      </w:r>
      <w:r w:rsidR="00F97589" w:rsidRPr="004D2231">
        <w:rPr>
          <w:rFonts w:ascii="Times New Roman" w:hAnsi="Times New Roman" w:cs="Times New Roman"/>
        </w:rPr>
        <w:t xml:space="preserve"> ou</w:t>
      </w:r>
      <w:r w:rsidRPr="004D2231">
        <w:rPr>
          <w:rFonts w:ascii="Times New Roman" w:hAnsi="Times New Roman" w:cs="Times New Roman"/>
        </w:rPr>
        <w:t xml:space="preserve"> </w:t>
      </w:r>
      <w:proofErr w:type="spellStart"/>
      <w:r w:rsidRPr="004D2231">
        <w:rPr>
          <w:rFonts w:ascii="Times New Roman" w:hAnsi="Times New Roman" w:cs="Times New Roman"/>
        </w:rPr>
        <w:t>Qualit’EnR</w:t>
      </w:r>
      <w:proofErr w:type="spellEnd"/>
      <w:r w:rsidR="00F97589" w:rsidRPr="004D2231">
        <w:rPr>
          <w:rFonts w:ascii="Times New Roman" w:hAnsi="Times New Roman" w:cs="Times New Roman"/>
        </w:rPr>
        <w:t xml:space="preserve"> ou</w:t>
      </w:r>
      <w:r w:rsidRPr="004D2231">
        <w:rPr>
          <w:rFonts w:ascii="Times New Roman" w:hAnsi="Times New Roman" w:cs="Times New Roman"/>
        </w:rPr>
        <w:t xml:space="preserve"> QUALIFELEC) qui donne son accord (ou non) sur le dossier qualification chantier. Aussi, il convient de </w:t>
      </w:r>
      <w:r w:rsidRPr="004D2231">
        <w:rPr>
          <w:rFonts w:ascii="Times New Roman" w:hAnsi="Times New Roman" w:cs="Times New Roman"/>
          <w:b/>
          <w:bCs/>
        </w:rPr>
        <w:t>ne pas commencer les travaux avant la validation du dossier qualification chantie</w:t>
      </w:r>
      <w:r w:rsidRPr="004D2231">
        <w:rPr>
          <w:rFonts w:ascii="Times New Roman" w:hAnsi="Times New Roman" w:cs="Times New Roman"/>
        </w:rPr>
        <w:t>r par l’organisme de qualification</w:t>
      </w:r>
      <w:r w:rsidR="007D4CA3" w:rsidRPr="004D2231">
        <w:rPr>
          <w:rFonts w:ascii="Times New Roman" w:hAnsi="Times New Roman" w:cs="Times New Roman"/>
        </w:rPr>
        <w:t>.</w:t>
      </w:r>
    </w:p>
    <w:p w14:paraId="742E7C91" w14:textId="77777777" w:rsidR="00E015FD" w:rsidRPr="004D2231" w:rsidRDefault="00E015FD" w:rsidP="00192B78">
      <w:pPr>
        <w:pStyle w:val="TableParagraph"/>
        <w:tabs>
          <w:tab w:val="left" w:pos="454"/>
        </w:tabs>
        <w:jc w:val="both"/>
        <w:rPr>
          <w:rFonts w:ascii="Times New Roman" w:hAnsi="Times New Roman" w:cs="Times New Roman"/>
        </w:rPr>
      </w:pPr>
    </w:p>
    <w:p w14:paraId="0AAFA8BD" w14:textId="02F1072E" w:rsidR="000E06C0" w:rsidRPr="004D2231" w:rsidRDefault="000E06C0" w:rsidP="007D4CA3">
      <w:pPr>
        <w:rPr>
          <w:rFonts w:ascii="Times New Roman" w:hAnsi="Times New Roman" w:cs="Times New Roman"/>
          <w:b/>
          <w:bCs/>
          <w:sz w:val="22"/>
          <w:u w:val="single"/>
        </w:rPr>
      </w:pPr>
      <w:r w:rsidRPr="004D2231">
        <w:rPr>
          <w:rFonts w:ascii="Times New Roman" w:hAnsi="Times New Roman" w:cs="Times New Roman"/>
          <w:b/>
          <w:bCs/>
          <w:sz w:val="22"/>
          <w:u w:val="single"/>
        </w:rPr>
        <w:t>Mentions</w:t>
      </w:r>
      <w:r w:rsidR="0042072F" w:rsidRPr="004D2231">
        <w:rPr>
          <w:rFonts w:ascii="Times New Roman" w:hAnsi="Times New Roman" w:cs="Times New Roman"/>
          <w:b/>
          <w:bCs/>
          <w:sz w:val="22"/>
          <w:u w:val="single"/>
        </w:rPr>
        <w:t xml:space="preserve"> générales</w:t>
      </w:r>
      <w:r w:rsidRPr="004D2231">
        <w:rPr>
          <w:rFonts w:ascii="Times New Roman" w:hAnsi="Times New Roman" w:cs="Times New Roman"/>
          <w:b/>
          <w:bCs/>
          <w:sz w:val="22"/>
          <w:u w:val="single"/>
        </w:rPr>
        <w:t xml:space="preserve"> relatives </w:t>
      </w:r>
      <w:r w:rsidR="00933EE9" w:rsidRPr="004D2231">
        <w:rPr>
          <w:rFonts w:ascii="Times New Roman" w:hAnsi="Times New Roman" w:cs="Times New Roman"/>
          <w:b/>
          <w:bCs/>
          <w:sz w:val="22"/>
          <w:u w:val="single"/>
        </w:rPr>
        <w:t>aux</w:t>
      </w:r>
      <w:r w:rsidR="0042072F" w:rsidRPr="004D2231">
        <w:rPr>
          <w:rFonts w:ascii="Times New Roman" w:hAnsi="Times New Roman" w:cs="Times New Roman"/>
          <w:b/>
          <w:bCs/>
          <w:sz w:val="22"/>
          <w:u w:val="single"/>
        </w:rPr>
        <w:t xml:space="preserve"> devis et</w:t>
      </w:r>
      <w:r w:rsidR="002E2637" w:rsidRPr="004D2231">
        <w:rPr>
          <w:rFonts w:ascii="Times New Roman" w:hAnsi="Times New Roman" w:cs="Times New Roman"/>
          <w:b/>
          <w:bCs/>
          <w:sz w:val="22"/>
          <w:u w:val="single"/>
        </w:rPr>
        <w:t>/ou</w:t>
      </w:r>
      <w:r w:rsidR="0042072F" w:rsidRPr="004D2231">
        <w:rPr>
          <w:rFonts w:ascii="Times New Roman" w:hAnsi="Times New Roman" w:cs="Times New Roman"/>
          <w:b/>
          <w:bCs/>
          <w:sz w:val="22"/>
          <w:u w:val="single"/>
        </w:rPr>
        <w:t xml:space="preserve"> factures</w:t>
      </w:r>
    </w:p>
    <w:p w14:paraId="4E64EDFE" w14:textId="658F4D7C"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Date du devis </w:t>
      </w:r>
      <w:r w:rsidR="004F7F39" w:rsidRPr="004D2231">
        <w:rPr>
          <w:rFonts w:ascii="Times New Roman" w:hAnsi="Times New Roman" w:cs="Times New Roman"/>
          <w:spacing w:val="-7"/>
        </w:rPr>
        <w:t xml:space="preserve">(devis + facture) </w:t>
      </w:r>
      <w:r w:rsidRPr="004D2231">
        <w:rPr>
          <w:rFonts w:ascii="Times New Roman" w:hAnsi="Times New Roman" w:cs="Times New Roman"/>
          <w:spacing w:val="-7"/>
        </w:rPr>
        <w:t>;</w:t>
      </w:r>
    </w:p>
    <w:p w14:paraId="110B0597" w14:textId="2EC48C49"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Durée de validité de l'offre </w:t>
      </w:r>
      <w:r w:rsidR="004F7F39" w:rsidRPr="004D2231">
        <w:rPr>
          <w:rFonts w:ascii="Times New Roman" w:hAnsi="Times New Roman" w:cs="Times New Roman"/>
          <w:spacing w:val="-7"/>
        </w:rPr>
        <w:t xml:space="preserve">(devis) </w:t>
      </w:r>
      <w:r w:rsidRPr="004D2231">
        <w:rPr>
          <w:rFonts w:ascii="Times New Roman" w:hAnsi="Times New Roman" w:cs="Times New Roman"/>
          <w:spacing w:val="-7"/>
        </w:rPr>
        <w:t>;</w:t>
      </w:r>
    </w:p>
    <w:p w14:paraId="6EE21CF0" w14:textId="5E28D827"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Nom, raison sociale et </w:t>
      </w:r>
      <w:r w:rsidR="00793945" w:rsidRPr="004D2231">
        <w:rPr>
          <w:rFonts w:ascii="Times New Roman" w:hAnsi="Times New Roman" w:cs="Times New Roman"/>
          <w:spacing w:val="-7"/>
        </w:rPr>
        <w:t>adresse de l'entreprise, statut</w:t>
      </w:r>
      <w:r w:rsidR="004F7F39" w:rsidRPr="004D2231">
        <w:rPr>
          <w:rFonts w:ascii="Times New Roman" w:hAnsi="Times New Roman" w:cs="Times New Roman"/>
          <w:spacing w:val="-7"/>
        </w:rPr>
        <w:t>, capital social</w:t>
      </w:r>
      <w:r w:rsidR="00793945" w:rsidRPr="004D2231">
        <w:rPr>
          <w:rFonts w:ascii="Times New Roman" w:hAnsi="Times New Roman" w:cs="Times New Roman"/>
          <w:spacing w:val="-7"/>
        </w:rPr>
        <w:t xml:space="preserve"> et forme</w:t>
      </w:r>
      <w:r w:rsidRPr="004D2231">
        <w:rPr>
          <w:rFonts w:ascii="Times New Roman" w:hAnsi="Times New Roman" w:cs="Times New Roman"/>
          <w:spacing w:val="-7"/>
        </w:rPr>
        <w:t xml:space="preserve"> juridique de l'entreprise </w:t>
      </w:r>
      <w:r w:rsidR="004F7F39" w:rsidRPr="004D2231">
        <w:rPr>
          <w:rFonts w:ascii="Times New Roman" w:hAnsi="Times New Roman" w:cs="Times New Roman"/>
          <w:spacing w:val="-7"/>
        </w:rPr>
        <w:t xml:space="preserve">(devis + facture) </w:t>
      </w:r>
      <w:r w:rsidRPr="004D2231">
        <w:rPr>
          <w:rFonts w:ascii="Times New Roman" w:hAnsi="Times New Roman" w:cs="Times New Roman"/>
          <w:spacing w:val="-7"/>
        </w:rPr>
        <w:t>;</w:t>
      </w:r>
    </w:p>
    <w:p w14:paraId="737D0E08" w14:textId="024A3D8D"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Pour les artisans : numéro au Répertoire des métiers ; Pour les sociétés, numéro de RCS et montant du capital social</w:t>
      </w:r>
      <w:r w:rsidR="004F7F39" w:rsidRPr="004D2231">
        <w:rPr>
          <w:rFonts w:ascii="Times New Roman" w:hAnsi="Times New Roman" w:cs="Times New Roman"/>
          <w:spacing w:val="-7"/>
        </w:rPr>
        <w:t xml:space="preserve"> (devis + facture)</w:t>
      </w:r>
    </w:p>
    <w:p w14:paraId="1F904A03" w14:textId="648ED2FB"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Numéro individuel d'identification à la TVA </w:t>
      </w:r>
      <w:r w:rsidR="004F7F39" w:rsidRPr="004D2231">
        <w:rPr>
          <w:rFonts w:ascii="Times New Roman" w:hAnsi="Times New Roman" w:cs="Times New Roman"/>
          <w:spacing w:val="-7"/>
        </w:rPr>
        <w:t>(devis + facture)</w:t>
      </w:r>
      <w:r w:rsidR="009F5BAE" w:rsidRPr="004D2231">
        <w:rPr>
          <w:rFonts w:ascii="Times New Roman" w:hAnsi="Times New Roman" w:cs="Times New Roman"/>
          <w:spacing w:val="-7"/>
        </w:rPr>
        <w:t xml:space="preserve"> </w:t>
      </w:r>
      <w:r w:rsidRPr="004D2231">
        <w:rPr>
          <w:rFonts w:ascii="Times New Roman" w:hAnsi="Times New Roman" w:cs="Times New Roman"/>
          <w:spacing w:val="-7"/>
        </w:rPr>
        <w:t>;</w:t>
      </w:r>
    </w:p>
    <w:p w14:paraId="139F2D59" w14:textId="387D96FE" w:rsidR="002E2637" w:rsidRPr="004D2231" w:rsidRDefault="009F5BAE"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Le cas échéant, « autoliquidation » / « TVA non applicable, article 293 B du CGI » (devis + facture) </w:t>
      </w:r>
    </w:p>
    <w:p w14:paraId="7D74075D" w14:textId="72FAD0F8"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Nom et adresse du client</w:t>
      </w:r>
      <w:r w:rsidR="00F11C36" w:rsidRPr="004D2231">
        <w:rPr>
          <w:rFonts w:ascii="Times New Roman" w:hAnsi="Times New Roman" w:cs="Times New Roman"/>
          <w:spacing w:val="-7"/>
        </w:rPr>
        <w:t xml:space="preserve"> </w:t>
      </w:r>
      <w:r w:rsidR="004F7F39" w:rsidRPr="004D2231">
        <w:rPr>
          <w:rFonts w:ascii="Times New Roman" w:hAnsi="Times New Roman" w:cs="Times New Roman"/>
          <w:spacing w:val="-7"/>
        </w:rPr>
        <w:t>(devis + facture)</w:t>
      </w:r>
    </w:p>
    <w:p w14:paraId="001C3B6C" w14:textId="36B56370" w:rsidR="00013CE2" w:rsidRPr="004D2231" w:rsidRDefault="00013CE2"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Adresse de facturation (si différente)</w:t>
      </w:r>
      <w:r w:rsidR="004F7F39" w:rsidRPr="004D2231">
        <w:rPr>
          <w:rFonts w:ascii="Times New Roman" w:hAnsi="Times New Roman" w:cs="Times New Roman"/>
          <w:spacing w:val="-7"/>
        </w:rPr>
        <w:t xml:space="preserve"> (devis + facture)</w:t>
      </w:r>
    </w:p>
    <w:p w14:paraId="5AC99225" w14:textId="45293620" w:rsidR="004F7F39" w:rsidRPr="004D2231" w:rsidRDefault="004F7F39"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Numéro de facture (facture)</w:t>
      </w:r>
    </w:p>
    <w:p w14:paraId="674B766A" w14:textId="6986CF7D"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Adresse du chantier </w:t>
      </w:r>
      <w:r w:rsidR="00896430" w:rsidRPr="004D2231">
        <w:rPr>
          <w:rFonts w:ascii="Times New Roman" w:hAnsi="Times New Roman" w:cs="Times New Roman"/>
          <w:spacing w:val="-7"/>
        </w:rPr>
        <w:t>(</w:t>
      </w:r>
      <w:r w:rsidRPr="004D2231">
        <w:rPr>
          <w:rFonts w:ascii="Times New Roman" w:hAnsi="Times New Roman" w:cs="Times New Roman"/>
          <w:spacing w:val="-7"/>
        </w:rPr>
        <w:t>Pour les adresses sans numéro de rue : indiquer le numéro de parcelle cadastrale</w:t>
      </w:r>
      <w:r w:rsidR="00896430" w:rsidRPr="004D2231">
        <w:rPr>
          <w:rFonts w:ascii="Times New Roman" w:hAnsi="Times New Roman" w:cs="Times New Roman"/>
          <w:spacing w:val="-7"/>
        </w:rPr>
        <w:t>)</w:t>
      </w:r>
      <w:r w:rsidR="006A21B5" w:rsidRPr="004D2231">
        <w:rPr>
          <w:rFonts w:ascii="Times New Roman" w:hAnsi="Times New Roman" w:cs="Times New Roman"/>
          <w:spacing w:val="-7"/>
        </w:rPr>
        <w:t xml:space="preserve"> </w:t>
      </w:r>
      <w:r w:rsidR="004F7F39" w:rsidRPr="004D2231">
        <w:rPr>
          <w:rFonts w:ascii="Times New Roman" w:hAnsi="Times New Roman" w:cs="Times New Roman"/>
          <w:spacing w:val="-7"/>
        </w:rPr>
        <w:t xml:space="preserve">(devis + facture) </w:t>
      </w:r>
      <w:r w:rsidRPr="004D2231">
        <w:rPr>
          <w:rFonts w:ascii="Times New Roman" w:hAnsi="Times New Roman" w:cs="Times New Roman"/>
          <w:spacing w:val="-7"/>
        </w:rPr>
        <w:t>;</w:t>
      </w:r>
    </w:p>
    <w:p w14:paraId="550AB59F" w14:textId="3D878F0D"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Délai</w:t>
      </w:r>
      <w:r w:rsidR="004F7F39" w:rsidRPr="004D2231">
        <w:rPr>
          <w:rFonts w:ascii="Times New Roman" w:hAnsi="Times New Roman" w:cs="Times New Roman"/>
          <w:spacing w:val="-7"/>
        </w:rPr>
        <w:t>/date</w:t>
      </w:r>
      <w:r w:rsidRPr="004D2231">
        <w:rPr>
          <w:rFonts w:ascii="Times New Roman" w:hAnsi="Times New Roman" w:cs="Times New Roman"/>
          <w:spacing w:val="-7"/>
        </w:rPr>
        <w:t xml:space="preserve"> d’exécution des travaux à la signature du devis</w:t>
      </w:r>
      <w:r w:rsidR="004F7F39" w:rsidRPr="004D2231">
        <w:rPr>
          <w:rFonts w:ascii="Times New Roman" w:hAnsi="Times New Roman" w:cs="Times New Roman"/>
          <w:spacing w:val="-7"/>
        </w:rPr>
        <w:t xml:space="preserve"> (devis + facture)</w:t>
      </w:r>
      <w:r w:rsidRPr="004D2231">
        <w:rPr>
          <w:rFonts w:ascii="Times New Roman" w:hAnsi="Times New Roman" w:cs="Times New Roman"/>
          <w:spacing w:val="-7"/>
        </w:rPr>
        <w:t xml:space="preserve"> ;</w:t>
      </w:r>
    </w:p>
    <w:p w14:paraId="16E66AEF" w14:textId="034B65CC"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Décompte détaillé (et description) de chaque prestation, en quantité et en prix unitaire </w:t>
      </w:r>
      <w:r w:rsidR="004F7F39" w:rsidRPr="004D2231">
        <w:rPr>
          <w:rFonts w:ascii="Times New Roman" w:hAnsi="Times New Roman" w:cs="Times New Roman"/>
          <w:spacing w:val="-7"/>
        </w:rPr>
        <w:t xml:space="preserve">(devis + facture) </w:t>
      </w:r>
      <w:r w:rsidRPr="004D2231">
        <w:rPr>
          <w:rFonts w:ascii="Times New Roman" w:hAnsi="Times New Roman" w:cs="Times New Roman"/>
          <w:spacing w:val="-7"/>
        </w:rPr>
        <w:t>;</w:t>
      </w:r>
    </w:p>
    <w:p w14:paraId="20A101F5" w14:textId="45166351"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Prix horaire ou forfaitaire de la main d’œuvre, (séparé du prix des produits fournis) </w:t>
      </w:r>
      <w:r w:rsidR="004F7F39" w:rsidRPr="004D2231">
        <w:rPr>
          <w:rFonts w:ascii="Times New Roman" w:hAnsi="Times New Roman" w:cs="Times New Roman"/>
          <w:spacing w:val="-7"/>
        </w:rPr>
        <w:t xml:space="preserve">(devis + facture) </w:t>
      </w:r>
    </w:p>
    <w:p w14:paraId="5BD4D125" w14:textId="2B70FBCA"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Prix de l’enlèvement et de la gestion des déchets</w:t>
      </w:r>
      <w:r w:rsidR="00097D82" w:rsidRPr="004D2231">
        <w:rPr>
          <w:rFonts w:ascii="Times New Roman" w:hAnsi="Times New Roman" w:cs="Times New Roman"/>
          <w:spacing w:val="-7"/>
        </w:rPr>
        <w:t xml:space="preserve"> (</w:t>
      </w:r>
      <w:r w:rsidR="00097D82" w:rsidRPr="004D2231">
        <w:rPr>
          <w:rFonts w:ascii="Times New Roman" w:hAnsi="Times New Roman" w:cs="Times New Roman"/>
          <w:spacing w:val="-7"/>
          <w:u w:val="single"/>
        </w:rPr>
        <w:t xml:space="preserve">obligatoire </w:t>
      </w:r>
      <w:r w:rsidR="00951E22" w:rsidRPr="004D2231">
        <w:rPr>
          <w:rFonts w:ascii="Times New Roman" w:hAnsi="Times New Roman" w:cs="Times New Roman"/>
          <w:spacing w:val="-7"/>
          <w:u w:val="single"/>
        </w:rPr>
        <w:t xml:space="preserve">seulement </w:t>
      </w:r>
      <w:r w:rsidR="00097D82" w:rsidRPr="004D2231">
        <w:rPr>
          <w:rFonts w:ascii="Times New Roman" w:hAnsi="Times New Roman" w:cs="Times New Roman"/>
          <w:spacing w:val="-7"/>
          <w:u w:val="single"/>
        </w:rPr>
        <w:t>à compter du 1er juillet 2021)</w:t>
      </w:r>
      <w:r w:rsidR="004F7F39" w:rsidRPr="004D2231">
        <w:rPr>
          <w:rFonts w:ascii="Times New Roman" w:hAnsi="Times New Roman" w:cs="Times New Roman"/>
          <w:spacing w:val="-7"/>
        </w:rPr>
        <w:t xml:space="preserve"> (devis + facture s’il y a facturation) ;</w:t>
      </w:r>
    </w:p>
    <w:p w14:paraId="0E685AAD" w14:textId="5A236EA7"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Frais de déplacement, le cas échéant </w:t>
      </w:r>
      <w:r w:rsidR="004F7F39" w:rsidRPr="004D2231">
        <w:rPr>
          <w:rFonts w:ascii="Times New Roman" w:hAnsi="Times New Roman" w:cs="Times New Roman"/>
          <w:spacing w:val="-7"/>
        </w:rPr>
        <w:t xml:space="preserve">(devis + facture s’il y a facturation) </w:t>
      </w:r>
      <w:r w:rsidRPr="004D2231">
        <w:rPr>
          <w:rFonts w:ascii="Times New Roman" w:hAnsi="Times New Roman" w:cs="Times New Roman"/>
          <w:spacing w:val="-7"/>
        </w:rPr>
        <w:t>;</w:t>
      </w:r>
    </w:p>
    <w:p w14:paraId="546B5758" w14:textId="47DE5182"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Modalités de paiement et d'exécution du contrat (devis </w:t>
      </w:r>
      <w:r w:rsidR="004F7F39" w:rsidRPr="004D2231">
        <w:rPr>
          <w:rFonts w:ascii="Times New Roman" w:hAnsi="Times New Roman" w:cs="Times New Roman"/>
          <w:spacing w:val="-7"/>
        </w:rPr>
        <w:t>+ facture</w:t>
      </w:r>
      <w:r w:rsidRPr="004D2231">
        <w:rPr>
          <w:rFonts w:ascii="Times New Roman" w:hAnsi="Times New Roman" w:cs="Times New Roman"/>
          <w:spacing w:val="-7"/>
        </w:rPr>
        <w:t>) ;</w:t>
      </w:r>
    </w:p>
    <w:p w14:paraId="3502A329" w14:textId="5021BFE7"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Somme globale à payer HT et TTC, en précisant les taux de TVA applicables à chaque prestation et produit (</w:t>
      </w:r>
      <w:r w:rsidR="002B21A0" w:rsidRPr="004D2231">
        <w:rPr>
          <w:rFonts w:ascii="Times New Roman" w:hAnsi="Times New Roman" w:cs="Times New Roman"/>
          <w:spacing w:val="-7"/>
        </w:rPr>
        <w:t>c</w:t>
      </w:r>
      <w:r w:rsidRPr="004D2231">
        <w:rPr>
          <w:rFonts w:ascii="Times New Roman" w:hAnsi="Times New Roman" w:cs="Times New Roman"/>
          <w:spacing w:val="-7"/>
        </w:rPr>
        <w:t>f. TVA ci-dessous)</w:t>
      </w:r>
      <w:r w:rsidR="004F7F39" w:rsidRPr="004D2231">
        <w:rPr>
          <w:rFonts w:ascii="Times New Roman" w:hAnsi="Times New Roman" w:cs="Times New Roman"/>
          <w:spacing w:val="-7"/>
        </w:rPr>
        <w:t xml:space="preserve"> (devis + facture) </w:t>
      </w:r>
      <w:r w:rsidRPr="004D2231">
        <w:rPr>
          <w:rFonts w:ascii="Times New Roman" w:hAnsi="Times New Roman" w:cs="Times New Roman"/>
          <w:spacing w:val="-7"/>
        </w:rPr>
        <w:t>;</w:t>
      </w:r>
    </w:p>
    <w:p w14:paraId="413A2DB7" w14:textId="0ABDAA02" w:rsidR="00FE341B"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 xml:space="preserve">Coordonnées de l'assureur RC et/ou décennale ou du garant, la couverture géographique du contrat ou de la garantie </w:t>
      </w:r>
      <w:r w:rsidR="004F7F39" w:rsidRPr="004D2231">
        <w:rPr>
          <w:rFonts w:ascii="Times New Roman" w:hAnsi="Times New Roman" w:cs="Times New Roman"/>
          <w:spacing w:val="-7"/>
        </w:rPr>
        <w:t>(devis) ;</w:t>
      </w:r>
    </w:p>
    <w:p w14:paraId="00A2158F" w14:textId="411A3419" w:rsidR="001815A7"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Caractère gratuit ou payant du devis</w:t>
      </w:r>
      <w:r w:rsidR="004F7F39" w:rsidRPr="004D2231">
        <w:rPr>
          <w:rFonts w:ascii="Times New Roman" w:hAnsi="Times New Roman" w:cs="Times New Roman"/>
          <w:spacing w:val="-7"/>
        </w:rPr>
        <w:t xml:space="preserve"> (devis + facture s’il y a facturation) </w:t>
      </w:r>
      <w:r w:rsidRPr="004D2231">
        <w:rPr>
          <w:rFonts w:ascii="Times New Roman" w:hAnsi="Times New Roman" w:cs="Times New Roman"/>
          <w:spacing w:val="-7"/>
        </w:rPr>
        <w:t>;</w:t>
      </w:r>
    </w:p>
    <w:p w14:paraId="523D6D55" w14:textId="77777777" w:rsidR="00C22935" w:rsidRPr="004D2231" w:rsidRDefault="00FE341B"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Coordonnées du médiateur de la consommation de l’entreprise</w:t>
      </w:r>
      <w:r w:rsidR="005827BA" w:rsidRPr="004D2231">
        <w:rPr>
          <w:rFonts w:ascii="Times New Roman" w:hAnsi="Times New Roman" w:cs="Times New Roman"/>
          <w:spacing w:val="-7"/>
        </w:rPr>
        <w:t> </w:t>
      </w:r>
      <w:r w:rsidR="004F7F39" w:rsidRPr="004D2231">
        <w:rPr>
          <w:rFonts w:ascii="Times New Roman" w:hAnsi="Times New Roman" w:cs="Times New Roman"/>
          <w:spacing w:val="-7"/>
        </w:rPr>
        <w:t xml:space="preserve">(devis) </w:t>
      </w:r>
      <w:r w:rsidR="005827BA" w:rsidRPr="004D2231">
        <w:rPr>
          <w:rFonts w:ascii="Times New Roman" w:hAnsi="Times New Roman" w:cs="Times New Roman"/>
          <w:spacing w:val="-7"/>
        </w:rPr>
        <w:t>;</w:t>
      </w:r>
    </w:p>
    <w:p w14:paraId="60D5A015" w14:textId="0253DA8D" w:rsidR="00793945" w:rsidRPr="004D2231" w:rsidRDefault="00592A43" w:rsidP="002E2637">
      <w:pPr>
        <w:pStyle w:val="TableParagraph"/>
        <w:numPr>
          <w:ilvl w:val="0"/>
          <w:numId w:val="2"/>
        </w:numPr>
        <w:tabs>
          <w:tab w:val="left" w:pos="454"/>
        </w:tabs>
        <w:spacing w:before="0" w:line="261" w:lineRule="auto"/>
        <w:ind w:right="198"/>
        <w:jc w:val="both"/>
        <w:rPr>
          <w:rFonts w:ascii="Times New Roman" w:hAnsi="Times New Roman" w:cs="Times New Roman"/>
          <w:i/>
          <w:iCs/>
          <w:spacing w:val="-7"/>
        </w:rPr>
      </w:pPr>
      <w:r w:rsidRPr="004D2231">
        <w:rPr>
          <w:rFonts w:ascii="Times New Roman" w:hAnsi="Times New Roman" w:cs="Times New Roman"/>
          <w:spacing w:val="-7"/>
        </w:rPr>
        <w:t>Mention sur la p</w:t>
      </w:r>
      <w:r w:rsidR="00013CE2" w:rsidRPr="004D2231">
        <w:rPr>
          <w:rFonts w:ascii="Times New Roman" w:hAnsi="Times New Roman" w:cs="Times New Roman"/>
          <w:spacing w:val="-7"/>
        </w:rPr>
        <w:t>olitique de confidentialité de l’entreprise</w:t>
      </w:r>
      <w:r w:rsidR="004F7F39" w:rsidRPr="004D2231">
        <w:rPr>
          <w:rFonts w:ascii="Times New Roman" w:hAnsi="Times New Roman" w:cs="Times New Roman"/>
          <w:spacing w:val="-7"/>
        </w:rPr>
        <w:t xml:space="preserve"> (devis)</w:t>
      </w:r>
      <w:r w:rsidR="00C22935" w:rsidRPr="004D2231">
        <w:rPr>
          <w:rFonts w:ascii="Times New Roman" w:hAnsi="Times New Roman" w:cs="Times New Roman"/>
          <w:spacing w:val="-7"/>
        </w:rPr>
        <w:t xml:space="preserve">, </w:t>
      </w:r>
      <w:r w:rsidR="00D46AB3" w:rsidRPr="004D2231">
        <w:rPr>
          <w:rFonts w:ascii="Times New Roman" w:hAnsi="Times New Roman" w:cs="Times New Roman"/>
          <w:i/>
          <w:iCs/>
          <w:spacing w:val="-7"/>
        </w:rPr>
        <w:t xml:space="preserve">cf. </w:t>
      </w:r>
      <w:r w:rsidR="00C22935" w:rsidRPr="004D2231">
        <w:rPr>
          <w:rFonts w:ascii="Times New Roman" w:hAnsi="Times New Roman" w:cs="Times New Roman"/>
          <w:i/>
          <w:iCs/>
          <w:spacing w:val="-7"/>
        </w:rPr>
        <w:t>exemple</w:t>
      </w:r>
      <w:r w:rsidR="00D46AB3" w:rsidRPr="004D2231">
        <w:rPr>
          <w:rFonts w:ascii="Times New Roman" w:hAnsi="Times New Roman" w:cs="Times New Roman"/>
          <w:i/>
          <w:iCs/>
          <w:spacing w:val="-7"/>
        </w:rPr>
        <w:t xml:space="preserve">s en annexe </w:t>
      </w:r>
      <w:r w:rsidR="00C22935" w:rsidRPr="004D2231">
        <w:rPr>
          <w:rFonts w:ascii="Times New Roman" w:hAnsi="Times New Roman" w:cs="Times New Roman"/>
          <w:i/>
          <w:iCs/>
          <w:spacing w:val="-7"/>
        </w:rPr>
        <w:t> </w:t>
      </w:r>
    </w:p>
    <w:p w14:paraId="3E7C653E" w14:textId="451ED614" w:rsidR="004F7F39" w:rsidRPr="004D2231" w:rsidRDefault="004F7F39" w:rsidP="002E2637">
      <w:pPr>
        <w:pStyle w:val="TableParagraph"/>
        <w:numPr>
          <w:ilvl w:val="0"/>
          <w:numId w:val="2"/>
        </w:numPr>
        <w:tabs>
          <w:tab w:val="left" w:pos="454"/>
        </w:tabs>
        <w:spacing w:before="0" w:line="261" w:lineRule="auto"/>
        <w:ind w:right="198"/>
        <w:jc w:val="both"/>
        <w:rPr>
          <w:rFonts w:ascii="Times New Roman" w:hAnsi="Times New Roman" w:cs="Times New Roman"/>
          <w:spacing w:val="-7"/>
        </w:rPr>
      </w:pPr>
      <w:r w:rsidRPr="004D2231">
        <w:rPr>
          <w:rFonts w:ascii="Times New Roman" w:hAnsi="Times New Roman" w:cs="Times New Roman"/>
          <w:spacing w:val="-7"/>
        </w:rPr>
        <w:t>Mention Bloctel (devis)</w:t>
      </w:r>
      <w:r w:rsidR="00C22935" w:rsidRPr="004D2231">
        <w:rPr>
          <w:rFonts w:ascii="Times New Roman" w:hAnsi="Times New Roman" w:cs="Times New Roman"/>
          <w:spacing w:val="-7"/>
        </w:rPr>
        <w:t>, exemple :</w:t>
      </w:r>
      <w:r w:rsidR="00B0133A" w:rsidRPr="004D2231">
        <w:rPr>
          <w:rFonts w:ascii="Times New Roman" w:hAnsi="Times New Roman" w:cs="Times New Roman"/>
          <w:spacing w:val="-7"/>
        </w:rPr>
        <w:t xml:space="preserve"> « </w:t>
      </w:r>
      <w:r w:rsidR="00C22935" w:rsidRPr="004D2231">
        <w:rPr>
          <w:rFonts w:ascii="Times New Roman" w:hAnsi="Times New Roman" w:cs="Times New Roman"/>
          <w:spacing w:val="-7"/>
        </w:rPr>
        <w:t>L</w:t>
      </w:r>
      <w:r w:rsidR="00B0133A" w:rsidRPr="004D2231">
        <w:rPr>
          <w:rFonts w:ascii="Times New Roman" w:hAnsi="Times New Roman" w:cs="Times New Roman"/>
          <w:spacing w:val="-7"/>
        </w:rPr>
        <w:t>e bénéficiaire du service qui ne souhaite pas faire l'objet de prospection commerciale par téléphone peut s'inscrire gratuitement sur la liste d'opposition Bloctel sur le site bloctel.gouv.fr »</w:t>
      </w:r>
    </w:p>
    <w:p w14:paraId="5A27558C" w14:textId="77777777" w:rsidR="0042072F" w:rsidRPr="004D2231" w:rsidRDefault="0042072F" w:rsidP="0042072F">
      <w:pPr>
        <w:pStyle w:val="TableParagraph"/>
        <w:tabs>
          <w:tab w:val="left" w:pos="454"/>
        </w:tabs>
        <w:spacing w:before="0" w:line="266" w:lineRule="exact"/>
        <w:rPr>
          <w:rFonts w:ascii="Times New Roman" w:hAnsi="Times New Roman" w:cs="Times New Roman"/>
        </w:rPr>
      </w:pPr>
    </w:p>
    <w:p w14:paraId="77542C58" w14:textId="0AB26812" w:rsidR="001D6C47" w:rsidRPr="004D2231" w:rsidRDefault="001D6C47" w:rsidP="007D4CA3">
      <w:pPr>
        <w:rPr>
          <w:rFonts w:ascii="Times New Roman" w:hAnsi="Times New Roman" w:cs="Times New Roman"/>
          <w:b/>
          <w:bCs/>
          <w:color w:val="000000" w:themeColor="text1"/>
          <w:sz w:val="22"/>
          <w:u w:val="single"/>
        </w:rPr>
      </w:pPr>
      <w:r w:rsidRPr="004D2231">
        <w:rPr>
          <w:rFonts w:ascii="Times New Roman" w:hAnsi="Times New Roman" w:cs="Times New Roman"/>
          <w:b/>
          <w:bCs/>
          <w:sz w:val="22"/>
          <w:u w:val="single"/>
        </w:rPr>
        <w:t>Clauses et mentions spécifiques concernant les travaux réalisés dans le cadre de la qualification ch</w:t>
      </w:r>
      <w:r w:rsidRPr="004D2231">
        <w:rPr>
          <w:rFonts w:ascii="Times New Roman" w:hAnsi="Times New Roman" w:cs="Times New Roman"/>
          <w:b/>
          <w:bCs/>
          <w:color w:val="000000" w:themeColor="text1"/>
          <w:sz w:val="22"/>
          <w:u w:val="single"/>
        </w:rPr>
        <w:t xml:space="preserve">antier </w:t>
      </w:r>
      <w:r w:rsidR="000C6E5F" w:rsidRPr="004D2231">
        <w:rPr>
          <w:rFonts w:ascii="Times New Roman" w:hAnsi="Times New Roman" w:cs="Times New Roman"/>
          <w:b/>
          <w:bCs/>
          <w:color w:val="000000" w:themeColor="text1"/>
          <w:sz w:val="22"/>
          <w:u w:val="single"/>
        </w:rPr>
        <w:t>(devis + facture)</w:t>
      </w:r>
    </w:p>
    <w:p w14:paraId="6FD6BA00" w14:textId="1737ED11" w:rsidR="00184DF3" w:rsidRPr="004D2231" w:rsidRDefault="00184DF3" w:rsidP="00184DF3">
      <w:pPr>
        <w:pStyle w:val="TableParagraph"/>
        <w:numPr>
          <w:ilvl w:val="0"/>
          <w:numId w:val="2"/>
        </w:numPr>
        <w:tabs>
          <w:tab w:val="left" w:pos="454"/>
        </w:tabs>
        <w:spacing w:before="0" w:line="261" w:lineRule="auto"/>
        <w:ind w:right="198"/>
        <w:jc w:val="both"/>
        <w:rPr>
          <w:rFonts w:ascii="Times New Roman" w:hAnsi="Times New Roman" w:cs="Times New Roman"/>
          <w:color w:val="000000" w:themeColor="text1"/>
          <w:spacing w:val="-7"/>
        </w:rPr>
      </w:pPr>
      <w:r w:rsidRPr="004D2231">
        <w:rPr>
          <w:rFonts w:ascii="Times New Roman" w:hAnsi="Times New Roman" w:cs="Times New Roman"/>
          <w:color w:val="000000" w:themeColor="text1"/>
          <w:spacing w:val="-7"/>
        </w:rPr>
        <w:t>« Le défaut d'obtention de la qualification-chantier par l'entreprise prestataire des travaux décrits dans le présent devis prive celui-ci de tout effet contraignant à l'égard des parties contractantes »</w:t>
      </w:r>
    </w:p>
    <w:p w14:paraId="1BAA8E89" w14:textId="78A2EADF" w:rsidR="00184DF3" w:rsidRPr="004D2231" w:rsidRDefault="00184DF3" w:rsidP="00184DF3">
      <w:pPr>
        <w:pStyle w:val="TableParagraph"/>
        <w:numPr>
          <w:ilvl w:val="0"/>
          <w:numId w:val="2"/>
        </w:numPr>
        <w:tabs>
          <w:tab w:val="left" w:pos="454"/>
        </w:tabs>
        <w:spacing w:before="0" w:line="261" w:lineRule="auto"/>
        <w:ind w:right="198"/>
        <w:jc w:val="both"/>
        <w:rPr>
          <w:rFonts w:ascii="Times New Roman" w:hAnsi="Times New Roman" w:cs="Times New Roman"/>
          <w:color w:val="000000" w:themeColor="text1"/>
          <w:spacing w:val="-7"/>
        </w:rPr>
      </w:pPr>
      <w:r w:rsidRPr="004D2231">
        <w:rPr>
          <w:rFonts w:ascii="Times New Roman" w:hAnsi="Times New Roman" w:cs="Times New Roman"/>
          <w:color w:val="000000" w:themeColor="text1"/>
          <w:spacing w:val="-7"/>
        </w:rPr>
        <w:t>« Jusqu’à 3 mois après la fin du chantier, le client accepte et s’engage à garder accessible le chantier pour tout contrôle par l’organisme de qualification en charge de la gestion de la qualification-chantier »</w:t>
      </w:r>
      <w:r w:rsidRPr="004D2231">
        <w:rPr>
          <w:rFonts w:ascii="Times New Roman" w:hAnsi="Times New Roman" w:cs="Times New Roman"/>
          <w:color w:val="000000" w:themeColor="text1"/>
        </w:rPr>
        <w:t>.</w:t>
      </w:r>
    </w:p>
    <w:p w14:paraId="7A0936CC" w14:textId="77777777" w:rsidR="00184DF3" w:rsidRPr="004D2231" w:rsidRDefault="00184DF3" w:rsidP="0094536F">
      <w:pPr>
        <w:pStyle w:val="TableParagraph"/>
        <w:tabs>
          <w:tab w:val="left" w:pos="454"/>
        </w:tabs>
        <w:spacing w:before="0" w:line="261" w:lineRule="auto"/>
        <w:ind w:left="106" w:right="198" w:firstLine="0"/>
        <w:jc w:val="both"/>
        <w:rPr>
          <w:rFonts w:ascii="Times New Roman" w:hAnsi="Times New Roman" w:cs="Times New Roman"/>
          <w:color w:val="000000" w:themeColor="text1"/>
        </w:rPr>
      </w:pPr>
    </w:p>
    <w:p w14:paraId="0420B925" w14:textId="538033AD" w:rsidR="0094536F" w:rsidRPr="004D2231" w:rsidRDefault="0094536F" w:rsidP="00184DF3">
      <w:pPr>
        <w:pStyle w:val="TableParagraph"/>
        <w:tabs>
          <w:tab w:val="left" w:pos="454"/>
        </w:tabs>
        <w:spacing w:before="0" w:after="60" w:line="262" w:lineRule="auto"/>
        <w:ind w:left="108" w:right="198" w:firstLine="0"/>
        <w:jc w:val="both"/>
        <w:rPr>
          <w:rFonts w:ascii="Times New Roman" w:hAnsi="Times New Roman" w:cs="Times New Roman"/>
          <w:i/>
          <w:iCs/>
          <w:color w:val="000000" w:themeColor="text1"/>
          <w:spacing w:val="-7"/>
        </w:rPr>
      </w:pPr>
      <w:r w:rsidRPr="004D2231">
        <w:rPr>
          <w:rFonts w:ascii="Times New Roman" w:hAnsi="Times New Roman" w:cs="Times New Roman"/>
          <w:i/>
          <w:iCs/>
          <w:color w:val="000000" w:themeColor="text1"/>
        </w:rPr>
        <w:t>Pour informer le client de son inscription dans la plateforme de gestion de la qualification chantier et lui transmettre l</w:t>
      </w:r>
      <w:r w:rsidR="00D976D4">
        <w:rPr>
          <w:rFonts w:ascii="Times New Roman" w:hAnsi="Times New Roman" w:cs="Times New Roman"/>
          <w:i/>
          <w:iCs/>
          <w:color w:val="000000" w:themeColor="text1"/>
        </w:rPr>
        <w:t>’attestation</w:t>
      </w:r>
      <w:r w:rsidRPr="004D2231">
        <w:rPr>
          <w:rFonts w:ascii="Times New Roman" w:hAnsi="Times New Roman" w:cs="Times New Roman"/>
          <w:i/>
          <w:iCs/>
          <w:color w:val="000000" w:themeColor="text1"/>
        </w:rPr>
        <w:t xml:space="preserve"> de qualification chantier</w:t>
      </w:r>
      <w:r w:rsidR="00FC4A97" w:rsidRPr="004D2231">
        <w:rPr>
          <w:rFonts w:ascii="Times New Roman" w:hAnsi="Times New Roman" w:cs="Times New Roman"/>
          <w:i/>
          <w:iCs/>
          <w:color w:val="000000" w:themeColor="text1"/>
        </w:rPr>
        <w:t xml:space="preserve"> (</w:t>
      </w:r>
      <w:r w:rsidR="00FC4A97" w:rsidRPr="00D976D4">
        <w:rPr>
          <w:rFonts w:ascii="Times New Roman" w:hAnsi="Times New Roman" w:cs="Times New Roman"/>
          <w:i/>
          <w:iCs/>
          <w:color w:val="000000" w:themeColor="text1"/>
          <w:u w:val="single"/>
        </w:rPr>
        <w:t>a</w:t>
      </w:r>
      <w:r w:rsidRPr="004D2231">
        <w:rPr>
          <w:rFonts w:ascii="Times New Roman" w:hAnsi="Times New Roman" w:cs="Times New Roman"/>
          <w:i/>
          <w:iCs/>
          <w:color w:val="000000" w:themeColor="text1"/>
          <w:u w:val="single"/>
        </w:rPr>
        <w:t>ucun document ne sera transmis au particulier par courrier</w:t>
      </w:r>
      <w:r w:rsidR="00FC4A97" w:rsidRPr="004D2231">
        <w:rPr>
          <w:rFonts w:ascii="Times New Roman" w:hAnsi="Times New Roman" w:cs="Times New Roman"/>
          <w:i/>
          <w:iCs/>
          <w:color w:val="000000" w:themeColor="text1"/>
          <w:u w:val="single"/>
        </w:rPr>
        <w:t>)</w:t>
      </w:r>
      <w:r w:rsidR="00113AAE" w:rsidRPr="004D2231">
        <w:rPr>
          <w:rFonts w:ascii="Times New Roman" w:hAnsi="Times New Roman" w:cs="Times New Roman"/>
          <w:i/>
          <w:iCs/>
          <w:color w:val="000000" w:themeColor="text1"/>
        </w:rPr>
        <w:t xml:space="preserve">, indiquer : </w:t>
      </w:r>
    </w:p>
    <w:p w14:paraId="0C873B59" w14:textId="15231C0C" w:rsidR="00F11C36" w:rsidRPr="004D2231" w:rsidRDefault="00113AAE" w:rsidP="001D6C47">
      <w:pPr>
        <w:pStyle w:val="TableParagraph"/>
        <w:numPr>
          <w:ilvl w:val="0"/>
          <w:numId w:val="2"/>
        </w:numPr>
        <w:tabs>
          <w:tab w:val="left" w:pos="454"/>
        </w:tabs>
        <w:spacing w:before="0" w:line="261" w:lineRule="auto"/>
        <w:ind w:right="198"/>
        <w:jc w:val="both"/>
        <w:rPr>
          <w:rFonts w:ascii="Times New Roman" w:hAnsi="Times New Roman" w:cs="Times New Roman"/>
          <w:color w:val="000000" w:themeColor="text1"/>
          <w:spacing w:val="-7"/>
        </w:rPr>
      </w:pPr>
      <w:r w:rsidRPr="004D2231">
        <w:rPr>
          <w:rFonts w:ascii="Times New Roman" w:hAnsi="Times New Roman" w:cs="Times New Roman"/>
          <w:color w:val="000000" w:themeColor="text1"/>
          <w:spacing w:val="-7"/>
        </w:rPr>
        <w:t>L</w:t>
      </w:r>
      <w:r w:rsidR="00F11C36" w:rsidRPr="004D2231">
        <w:rPr>
          <w:rFonts w:ascii="Times New Roman" w:hAnsi="Times New Roman" w:cs="Times New Roman"/>
          <w:color w:val="000000" w:themeColor="text1"/>
          <w:spacing w:val="-7"/>
        </w:rPr>
        <w:t xml:space="preserve">e </w:t>
      </w:r>
      <w:r w:rsidR="00F11C36" w:rsidRPr="004D2231">
        <w:rPr>
          <w:rFonts w:ascii="Times New Roman" w:hAnsi="Times New Roman" w:cs="Times New Roman"/>
          <w:b/>
          <w:bCs/>
          <w:color w:val="000000" w:themeColor="text1"/>
        </w:rPr>
        <w:t>courriel du client</w:t>
      </w:r>
      <w:r w:rsidR="00704E4D" w:rsidRPr="004D2231">
        <w:rPr>
          <w:rFonts w:ascii="Times New Roman" w:hAnsi="Times New Roman" w:cs="Times New Roman"/>
          <w:b/>
          <w:bCs/>
          <w:color w:val="000000" w:themeColor="text1"/>
        </w:rPr>
        <w:t xml:space="preserve"> </w:t>
      </w:r>
      <w:r w:rsidR="00704E4D" w:rsidRPr="004D2231">
        <w:rPr>
          <w:rFonts w:ascii="Times New Roman" w:hAnsi="Times New Roman" w:cs="Times New Roman"/>
          <w:color w:val="000000" w:themeColor="text1"/>
        </w:rPr>
        <w:t>(à côté des coordonnées du client)</w:t>
      </w:r>
      <w:r w:rsidR="00937273" w:rsidRPr="004D2231">
        <w:rPr>
          <w:rFonts w:ascii="Times New Roman" w:hAnsi="Times New Roman" w:cs="Times New Roman"/>
          <w:color w:val="000000" w:themeColor="text1"/>
        </w:rPr>
        <w:t>.</w:t>
      </w:r>
      <w:r w:rsidR="00704E4D" w:rsidRPr="004D2231">
        <w:rPr>
          <w:rFonts w:ascii="Times New Roman" w:hAnsi="Times New Roman" w:cs="Times New Roman"/>
          <w:b/>
          <w:bCs/>
          <w:color w:val="000000" w:themeColor="text1"/>
        </w:rPr>
        <w:t xml:space="preserve"> </w:t>
      </w:r>
    </w:p>
    <w:p w14:paraId="7D8C10D2" w14:textId="513B39E5" w:rsidR="001D6C47" w:rsidRPr="004D2231" w:rsidRDefault="009A20E6" w:rsidP="001D6C47">
      <w:pPr>
        <w:pStyle w:val="TableParagraph"/>
        <w:numPr>
          <w:ilvl w:val="0"/>
          <w:numId w:val="2"/>
        </w:numPr>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 </w:t>
      </w:r>
      <w:r w:rsidR="001D6C47" w:rsidRPr="004D2231">
        <w:rPr>
          <w:rFonts w:ascii="Times New Roman" w:hAnsi="Times New Roman" w:cs="Times New Roman"/>
          <w:color w:val="000000" w:themeColor="text1"/>
        </w:rPr>
        <w:t xml:space="preserve">Le </w:t>
      </w:r>
      <w:r w:rsidR="001D6C47" w:rsidRPr="004D2231">
        <w:rPr>
          <w:rFonts w:ascii="Times New Roman" w:hAnsi="Times New Roman" w:cs="Times New Roman"/>
          <w:color w:val="000000" w:themeColor="text1"/>
          <w:spacing w:val="-7"/>
        </w:rPr>
        <w:t>client</w:t>
      </w:r>
      <w:r w:rsidR="001D6C47" w:rsidRPr="004D2231">
        <w:rPr>
          <w:rFonts w:ascii="Times New Roman" w:hAnsi="Times New Roman" w:cs="Times New Roman"/>
          <w:color w:val="000000" w:themeColor="text1"/>
        </w:rPr>
        <w:t xml:space="preserve"> est informé que ses informations personnelles seront transmises à l’organisme de qualification pour l’instruction du dossier qualification chantier</w:t>
      </w:r>
      <w:r w:rsidRPr="004D2231">
        <w:rPr>
          <w:rFonts w:ascii="Times New Roman" w:hAnsi="Times New Roman" w:cs="Times New Roman"/>
          <w:color w:val="000000" w:themeColor="text1"/>
        </w:rPr>
        <w:t> ».</w:t>
      </w:r>
    </w:p>
    <w:p w14:paraId="00EB03FD" w14:textId="77777777" w:rsidR="001D6C47" w:rsidRPr="004D2231" w:rsidRDefault="001D6C47" w:rsidP="001D6C47">
      <w:pPr>
        <w:pStyle w:val="TableParagraph"/>
        <w:tabs>
          <w:tab w:val="left" w:pos="454"/>
        </w:tabs>
        <w:jc w:val="both"/>
        <w:rPr>
          <w:rFonts w:ascii="Times New Roman" w:hAnsi="Times New Roman" w:cs="Times New Roman"/>
          <w:color w:val="000000" w:themeColor="text1"/>
        </w:rPr>
      </w:pPr>
    </w:p>
    <w:p w14:paraId="5304A5C6" w14:textId="58894724" w:rsidR="001D6C47" w:rsidRPr="004D2231" w:rsidRDefault="001D6C47" w:rsidP="007D4CA3">
      <w:pPr>
        <w:rPr>
          <w:rFonts w:ascii="Times New Roman" w:hAnsi="Times New Roman" w:cs="Times New Roman"/>
          <w:b/>
          <w:bCs/>
          <w:sz w:val="22"/>
          <w:u w:val="single"/>
        </w:rPr>
      </w:pPr>
      <w:r w:rsidRPr="004D2231">
        <w:rPr>
          <w:rFonts w:ascii="Times New Roman" w:hAnsi="Times New Roman" w:cs="Times New Roman"/>
          <w:b/>
          <w:bCs/>
          <w:sz w:val="22"/>
          <w:u w:val="single"/>
        </w:rPr>
        <w:t>Clauses et mentions relatives aux aides MPR/CEE/CITE/Eco PTZ</w:t>
      </w:r>
      <w:r w:rsidR="00D21E36" w:rsidRPr="004D2231">
        <w:rPr>
          <w:rFonts w:ascii="Times New Roman" w:hAnsi="Times New Roman" w:cs="Times New Roman"/>
          <w:b/>
          <w:bCs/>
          <w:sz w:val="22"/>
          <w:u w:val="single"/>
        </w:rPr>
        <w:t xml:space="preserve"> (devis + facture)</w:t>
      </w:r>
    </w:p>
    <w:p w14:paraId="7458905A" w14:textId="77777777" w:rsidR="001D6C47" w:rsidRPr="004D2231" w:rsidRDefault="001D6C47" w:rsidP="001D6C47">
      <w:pPr>
        <w:pStyle w:val="TableParagraph"/>
        <w:numPr>
          <w:ilvl w:val="0"/>
          <w:numId w:val="2"/>
        </w:numPr>
        <w:tabs>
          <w:tab w:val="left" w:pos="454"/>
        </w:tabs>
        <w:rPr>
          <w:rFonts w:ascii="Times New Roman" w:eastAsiaTheme="minorEastAsia" w:hAnsi="Times New Roman" w:cs="Times New Roman"/>
          <w:color w:val="000000" w:themeColor="text1"/>
        </w:rPr>
      </w:pPr>
      <w:r w:rsidRPr="004D2231">
        <w:rPr>
          <w:rFonts w:ascii="Times New Roman" w:hAnsi="Times New Roman" w:cs="Times New Roman"/>
          <w:color w:val="000000" w:themeColor="text1"/>
        </w:rPr>
        <w:t>Date de la visite préalable du chantier (antérieure au devis) ;</w:t>
      </w:r>
    </w:p>
    <w:p w14:paraId="79692D74" w14:textId="0C9D5E64" w:rsidR="00D02442" w:rsidRPr="004D2231" w:rsidRDefault="001D6C47" w:rsidP="001D6C47">
      <w:pPr>
        <w:pStyle w:val="TableParagraph"/>
        <w:numPr>
          <w:ilvl w:val="0"/>
          <w:numId w:val="2"/>
        </w:numPr>
        <w:tabs>
          <w:tab w:val="left" w:pos="454"/>
        </w:tabs>
        <w:rPr>
          <w:rFonts w:ascii="Times New Roman" w:hAnsi="Times New Roman" w:cs="Times New Roman"/>
          <w:b/>
          <w:bCs/>
          <w:i/>
          <w:iCs/>
          <w:color w:val="000000" w:themeColor="text1"/>
        </w:rPr>
      </w:pPr>
      <w:r w:rsidRPr="004D2231">
        <w:rPr>
          <w:rFonts w:ascii="Times New Roman" w:hAnsi="Times New Roman" w:cs="Times New Roman"/>
          <w:b/>
          <w:bCs/>
          <w:color w:val="000000" w:themeColor="text1"/>
        </w:rPr>
        <w:t>Détail précis et chiffré des différentes catégories de travaux éligibles aux aides avec leurs caractéristiques techniques, leurs critères de performance et l’unité</w:t>
      </w:r>
      <w:r w:rsidR="0069016A" w:rsidRPr="004D2231">
        <w:rPr>
          <w:rFonts w:ascii="Times New Roman" w:hAnsi="Times New Roman" w:cs="Times New Roman"/>
          <w:b/>
          <w:bCs/>
          <w:color w:val="000000" w:themeColor="text1"/>
        </w:rPr>
        <w:t> :</w:t>
      </w:r>
    </w:p>
    <w:p w14:paraId="04A6C21D" w14:textId="6F583322" w:rsidR="001D6C47" w:rsidRPr="004D2231" w:rsidRDefault="001D6C47" w:rsidP="00D02442">
      <w:pPr>
        <w:pStyle w:val="TableParagraph"/>
        <w:numPr>
          <w:ilvl w:val="0"/>
          <w:numId w:val="6"/>
        </w:numPr>
        <w:tabs>
          <w:tab w:val="left" w:pos="454"/>
        </w:tabs>
        <w:spacing w:before="0" w:after="60" w:line="262" w:lineRule="auto"/>
        <w:ind w:right="198"/>
        <w:jc w:val="both"/>
        <w:rPr>
          <w:rFonts w:ascii="Times New Roman" w:hAnsi="Times New Roman" w:cs="Times New Roman"/>
          <w:b/>
          <w:bCs/>
          <w:i/>
          <w:iCs/>
          <w:color w:val="000000" w:themeColor="text1"/>
        </w:rPr>
      </w:pPr>
      <w:r w:rsidRPr="004D2231">
        <w:rPr>
          <w:rFonts w:ascii="Times New Roman" w:hAnsi="Times New Roman" w:cs="Times New Roman"/>
          <w:b/>
          <w:bCs/>
          <w:i/>
          <w:iCs/>
          <w:color w:val="000000" w:themeColor="text1"/>
        </w:rPr>
        <w:t>Voir les fiches d’opérations standardisées CEE</w:t>
      </w:r>
    </w:p>
    <w:p w14:paraId="5F37C64D" w14:textId="77777777" w:rsidR="00417745" w:rsidRPr="004D2231" w:rsidRDefault="00417745" w:rsidP="00793945">
      <w:pPr>
        <w:pStyle w:val="TableParagraph"/>
        <w:tabs>
          <w:tab w:val="left" w:pos="454"/>
        </w:tabs>
        <w:spacing w:before="0" w:line="266" w:lineRule="exact"/>
        <w:ind w:left="449" w:firstLine="0"/>
        <w:rPr>
          <w:rFonts w:ascii="Times New Roman" w:hAnsi="Times New Roman" w:cs="Times New Roman"/>
          <w:color w:val="000000" w:themeColor="text1"/>
        </w:rPr>
      </w:pPr>
    </w:p>
    <w:p w14:paraId="17708BB0" w14:textId="7DCABBEF" w:rsidR="00FE341B" w:rsidRPr="004D2231" w:rsidRDefault="00744639" w:rsidP="007D4CA3">
      <w:pPr>
        <w:rPr>
          <w:rFonts w:ascii="Times New Roman" w:hAnsi="Times New Roman" w:cs="Times New Roman"/>
          <w:b/>
          <w:bCs/>
          <w:sz w:val="22"/>
          <w:u w:val="single"/>
        </w:rPr>
      </w:pPr>
      <w:r w:rsidRPr="004D2231">
        <w:rPr>
          <w:rFonts w:ascii="Times New Roman" w:hAnsi="Times New Roman" w:cs="Times New Roman"/>
          <w:b/>
          <w:bCs/>
          <w:sz w:val="22"/>
          <w:u w:val="single"/>
        </w:rPr>
        <w:t>Autres précisions</w:t>
      </w:r>
      <w:r w:rsidR="005827BA" w:rsidRPr="004D2231">
        <w:rPr>
          <w:rFonts w:ascii="Times New Roman" w:hAnsi="Times New Roman" w:cs="Times New Roman"/>
          <w:b/>
          <w:bCs/>
          <w:sz w:val="22"/>
          <w:u w:val="single"/>
        </w:rPr>
        <w:t> :</w:t>
      </w:r>
      <w:r w:rsidRPr="004D2231">
        <w:rPr>
          <w:rFonts w:ascii="Times New Roman" w:hAnsi="Times New Roman" w:cs="Times New Roman"/>
          <w:b/>
          <w:bCs/>
          <w:sz w:val="22"/>
          <w:u w:val="single"/>
        </w:rPr>
        <w:t xml:space="preserve"> taux de </w:t>
      </w:r>
      <w:r w:rsidR="00FE341B" w:rsidRPr="004D2231">
        <w:rPr>
          <w:rFonts w:ascii="Times New Roman" w:hAnsi="Times New Roman" w:cs="Times New Roman"/>
          <w:b/>
          <w:bCs/>
          <w:sz w:val="22"/>
          <w:u w:val="single"/>
        </w:rPr>
        <w:t>TVA</w:t>
      </w:r>
      <w:r w:rsidR="000E06C0" w:rsidRPr="004D2231">
        <w:rPr>
          <w:rFonts w:ascii="Times New Roman" w:hAnsi="Times New Roman" w:cs="Times New Roman"/>
          <w:b/>
          <w:bCs/>
          <w:sz w:val="22"/>
          <w:u w:val="single"/>
        </w:rPr>
        <w:t xml:space="preserve"> à appliquer</w:t>
      </w:r>
      <w:r w:rsidR="00D21E36" w:rsidRPr="004D2231">
        <w:rPr>
          <w:rFonts w:ascii="Times New Roman" w:hAnsi="Times New Roman" w:cs="Times New Roman"/>
          <w:b/>
          <w:bCs/>
          <w:sz w:val="22"/>
          <w:u w:val="single"/>
        </w:rPr>
        <w:t xml:space="preserve"> (devis + facture)</w:t>
      </w:r>
    </w:p>
    <w:p w14:paraId="1C6DBC2B" w14:textId="04C07831" w:rsidR="00FE341B" w:rsidRPr="004D2231" w:rsidRDefault="001815A7" w:rsidP="00986E3C">
      <w:pPr>
        <w:pStyle w:val="TableParagraph"/>
        <w:numPr>
          <w:ilvl w:val="0"/>
          <w:numId w:val="5"/>
        </w:numPr>
        <w:spacing w:before="30"/>
        <w:jc w:val="both"/>
        <w:rPr>
          <w:rFonts w:ascii="Times New Roman" w:hAnsi="Times New Roman" w:cs="Times New Roman"/>
        </w:rPr>
      </w:pPr>
      <w:r w:rsidRPr="004D2231">
        <w:rPr>
          <w:rFonts w:ascii="Times New Roman" w:hAnsi="Times New Roman" w:cs="Times New Roman"/>
          <w:b/>
          <w:bCs/>
        </w:rPr>
        <w:t xml:space="preserve">TVA à 5,5 % </w:t>
      </w:r>
      <w:r w:rsidRPr="004D2231">
        <w:rPr>
          <w:rFonts w:ascii="Times New Roman" w:hAnsi="Times New Roman" w:cs="Times New Roman"/>
        </w:rPr>
        <w:t xml:space="preserve">pour </w:t>
      </w:r>
      <w:r w:rsidR="00FE341B" w:rsidRPr="004D2231">
        <w:rPr>
          <w:rFonts w:ascii="Times New Roman" w:hAnsi="Times New Roman" w:cs="Times New Roman"/>
        </w:rPr>
        <w:t>les travaux de rénovation énergétique</w:t>
      </w:r>
      <w:r w:rsidR="002F3499" w:rsidRPr="004D2231">
        <w:rPr>
          <w:rFonts w:ascii="Times New Roman" w:hAnsi="Times New Roman" w:cs="Times New Roman"/>
        </w:rPr>
        <w:t xml:space="preserve"> des locaux à usage d’habitation de plus de deux ans</w:t>
      </w:r>
      <w:r w:rsidR="00FE341B" w:rsidRPr="004D2231">
        <w:rPr>
          <w:rFonts w:ascii="Times New Roman" w:hAnsi="Times New Roman" w:cs="Times New Roman"/>
        </w:rPr>
        <w:t xml:space="preserve">, selon des critères de performance spécifiques </w:t>
      </w:r>
    </w:p>
    <w:p w14:paraId="38D881A8" w14:textId="75D367FE" w:rsidR="00FE341B" w:rsidRPr="004D2231" w:rsidRDefault="00FE341B" w:rsidP="00986E3C">
      <w:pPr>
        <w:pStyle w:val="TableParagraph"/>
        <w:numPr>
          <w:ilvl w:val="0"/>
          <w:numId w:val="5"/>
        </w:numPr>
        <w:spacing w:before="30"/>
        <w:jc w:val="both"/>
        <w:rPr>
          <w:rFonts w:ascii="Times New Roman" w:hAnsi="Times New Roman" w:cs="Times New Roman"/>
        </w:rPr>
      </w:pPr>
      <w:r w:rsidRPr="004D2231">
        <w:rPr>
          <w:rFonts w:ascii="Times New Roman" w:hAnsi="Times New Roman" w:cs="Times New Roman"/>
          <w:b/>
        </w:rPr>
        <w:t xml:space="preserve">TVA à 10 % </w:t>
      </w:r>
      <w:r w:rsidRPr="004D2231">
        <w:rPr>
          <w:rFonts w:ascii="Times New Roman" w:hAnsi="Times New Roman" w:cs="Times New Roman"/>
        </w:rPr>
        <w:t>pour les autres travaux de rénovation</w:t>
      </w:r>
      <w:r w:rsidR="002F3499" w:rsidRPr="004D2231">
        <w:rPr>
          <w:rFonts w:ascii="Times New Roman" w:hAnsi="Times New Roman" w:cs="Times New Roman"/>
        </w:rPr>
        <w:t xml:space="preserve"> des locaux à usage d’habitation de plus de deux ans</w:t>
      </w:r>
      <w:r w:rsidRPr="004D2231">
        <w:rPr>
          <w:rFonts w:ascii="Times New Roman" w:hAnsi="Times New Roman" w:cs="Times New Roman"/>
        </w:rPr>
        <w:t xml:space="preserve"> (à l’exception des travaux ci-dessous)</w:t>
      </w:r>
    </w:p>
    <w:p w14:paraId="64F2E12C" w14:textId="77777777" w:rsidR="00FE341B" w:rsidRPr="004D2231" w:rsidRDefault="00FE341B" w:rsidP="00986E3C">
      <w:pPr>
        <w:pStyle w:val="TableParagraph"/>
        <w:numPr>
          <w:ilvl w:val="0"/>
          <w:numId w:val="5"/>
        </w:numPr>
        <w:spacing w:before="31" w:line="268" w:lineRule="auto"/>
        <w:ind w:right="99"/>
        <w:jc w:val="both"/>
        <w:rPr>
          <w:rFonts w:ascii="Times New Roman" w:hAnsi="Times New Roman" w:cs="Times New Roman"/>
        </w:rPr>
      </w:pPr>
      <w:r w:rsidRPr="004D2231">
        <w:rPr>
          <w:rFonts w:ascii="Times New Roman" w:hAnsi="Times New Roman" w:cs="Times New Roman"/>
          <w:b/>
          <w:bCs/>
          <w:spacing w:val="-6"/>
        </w:rPr>
        <w:t xml:space="preserve">TVA </w:t>
      </w:r>
      <w:r w:rsidRPr="004D2231">
        <w:rPr>
          <w:rFonts w:ascii="Times New Roman" w:hAnsi="Times New Roman" w:cs="Times New Roman"/>
          <w:b/>
          <w:bCs/>
        </w:rPr>
        <w:t xml:space="preserve">à 20 % </w:t>
      </w:r>
      <w:r w:rsidRPr="004D2231">
        <w:rPr>
          <w:rFonts w:ascii="Times New Roman" w:hAnsi="Times New Roman" w:cs="Times New Roman"/>
        </w:rPr>
        <w:t>pour les travaux suivants : ascenseurs et les travaux ne concernant pas la rénovation ; les travaux qui, sur une période de 2 ans, remettent à l’état neuf plus des 2/3 des éléments de second œuvre ou plus de la moitié du gros œuvre ; les travaux qui ont pour effet d’augmenter de plus de 10% la surface du plancher des locaux existants. Équipements mobiles ; construction, agrandissement, surélévation...</w:t>
      </w:r>
    </w:p>
    <w:p w14:paraId="3F8E2F3A" w14:textId="77777777" w:rsidR="00CF6B52" w:rsidRPr="004D2231" w:rsidRDefault="00CF6B52" w:rsidP="002E2637">
      <w:pPr>
        <w:spacing w:after="0"/>
        <w:ind w:left="471"/>
        <w:jc w:val="both"/>
        <w:rPr>
          <w:rFonts w:ascii="Times New Roman" w:hAnsi="Times New Roman" w:cs="Times New Roman"/>
          <w:b/>
          <w:bCs/>
          <w:sz w:val="22"/>
        </w:rPr>
      </w:pPr>
    </w:p>
    <w:p w14:paraId="1D1DD47F" w14:textId="19EE6F76" w:rsidR="00FE341B" w:rsidRPr="004D2231" w:rsidRDefault="00FE341B" w:rsidP="00986E3C">
      <w:pPr>
        <w:ind w:left="468"/>
        <w:jc w:val="both"/>
        <w:rPr>
          <w:rFonts w:ascii="Times New Roman" w:hAnsi="Times New Roman" w:cs="Times New Roman"/>
          <w:color w:val="00B0F0"/>
          <w:sz w:val="22"/>
        </w:rPr>
      </w:pPr>
      <w:r w:rsidRPr="004D2231">
        <w:rPr>
          <w:rFonts w:ascii="Times New Roman" w:hAnsi="Times New Roman" w:cs="Times New Roman"/>
          <w:b/>
          <w:bCs/>
          <w:i/>
          <w:iCs/>
          <w:sz w:val="22"/>
        </w:rPr>
        <w:t xml:space="preserve">Pour appliquer un taux réduit de la TVA aux travaux dans les locaux à usage d’habitation de plus de deux ans, le client doit vous remettre une attestation </w:t>
      </w:r>
      <w:proofErr w:type="spellStart"/>
      <w:r w:rsidR="002F3499" w:rsidRPr="004D2231">
        <w:rPr>
          <w:rFonts w:ascii="Times New Roman" w:hAnsi="Times New Roman" w:cs="Times New Roman"/>
          <w:b/>
          <w:bCs/>
          <w:i/>
          <w:iCs/>
          <w:sz w:val="22"/>
        </w:rPr>
        <w:t>Cerfa</w:t>
      </w:r>
      <w:proofErr w:type="spellEnd"/>
      <w:r w:rsidR="002F3499" w:rsidRPr="004D2231">
        <w:rPr>
          <w:rFonts w:ascii="Times New Roman" w:hAnsi="Times New Roman" w:cs="Times New Roman"/>
          <w:b/>
          <w:bCs/>
          <w:i/>
          <w:iCs/>
          <w:sz w:val="22"/>
        </w:rPr>
        <w:t xml:space="preserve"> </w:t>
      </w:r>
      <w:r w:rsidRPr="004D2231">
        <w:rPr>
          <w:rFonts w:ascii="Times New Roman" w:hAnsi="Times New Roman" w:cs="Times New Roman"/>
          <w:b/>
          <w:bCs/>
          <w:i/>
          <w:iCs/>
          <w:sz w:val="22"/>
        </w:rPr>
        <w:t>remplie (</w:t>
      </w:r>
      <w:hyperlink r:id="rId7" w:history="1">
        <w:r w:rsidRPr="004D2231">
          <w:rPr>
            <w:rStyle w:val="Lienhypertexte"/>
            <w:rFonts w:ascii="Times New Roman" w:hAnsi="Times New Roman" w:cs="Times New Roman"/>
            <w:b/>
            <w:bCs/>
            <w:i/>
            <w:iCs/>
            <w:sz w:val="22"/>
          </w:rPr>
          <w:t>attestation-normale</w:t>
        </w:r>
      </w:hyperlink>
      <w:r w:rsidRPr="004D2231">
        <w:rPr>
          <w:rFonts w:ascii="Times New Roman" w:hAnsi="Times New Roman" w:cs="Times New Roman"/>
          <w:b/>
          <w:bCs/>
          <w:i/>
          <w:iCs/>
          <w:sz w:val="22"/>
        </w:rPr>
        <w:t xml:space="preserve"> ou </w:t>
      </w:r>
      <w:hyperlink r:id="rId8" w:history="1">
        <w:r w:rsidRPr="004D2231">
          <w:rPr>
            <w:rStyle w:val="Lienhypertexte"/>
            <w:rFonts w:ascii="Times New Roman" w:hAnsi="Times New Roman" w:cs="Times New Roman"/>
            <w:b/>
            <w:bCs/>
            <w:i/>
            <w:iCs/>
            <w:sz w:val="22"/>
          </w:rPr>
          <w:t>attestation simplifiée</w:t>
        </w:r>
      </w:hyperlink>
      <w:r w:rsidRPr="004D2231">
        <w:rPr>
          <w:rFonts w:ascii="Times New Roman" w:hAnsi="Times New Roman" w:cs="Times New Roman"/>
          <w:b/>
          <w:bCs/>
          <w:i/>
          <w:iCs/>
          <w:sz w:val="22"/>
        </w:rPr>
        <w:t>) : demandez-la pour</w:t>
      </w:r>
      <w:r w:rsidR="00744639" w:rsidRPr="004D2231">
        <w:rPr>
          <w:rFonts w:ascii="Times New Roman" w:hAnsi="Times New Roman" w:cs="Times New Roman"/>
          <w:b/>
          <w:bCs/>
          <w:i/>
          <w:iCs/>
          <w:sz w:val="22"/>
        </w:rPr>
        <w:t xml:space="preserve"> établir le devis</w:t>
      </w:r>
      <w:r w:rsidR="00744639" w:rsidRPr="004D2231">
        <w:rPr>
          <w:rFonts w:ascii="Times New Roman" w:hAnsi="Times New Roman" w:cs="Times New Roman"/>
          <w:color w:val="00B0F0"/>
          <w:sz w:val="22"/>
        </w:rPr>
        <w:t>.</w:t>
      </w:r>
    </w:p>
    <w:p w14:paraId="5B8FAB46" w14:textId="31AA7632" w:rsidR="00D46AB3" w:rsidRPr="004D2231" w:rsidRDefault="00D46AB3" w:rsidP="00986E3C">
      <w:pPr>
        <w:ind w:left="468"/>
        <w:jc w:val="both"/>
        <w:rPr>
          <w:rFonts w:ascii="Times New Roman" w:hAnsi="Times New Roman" w:cs="Times New Roman"/>
          <w:sz w:val="22"/>
        </w:rPr>
      </w:pPr>
    </w:p>
    <w:p w14:paraId="738526DD" w14:textId="127EFD06" w:rsidR="00D46AB3" w:rsidRPr="004D2231" w:rsidRDefault="00D46AB3" w:rsidP="00D46AB3">
      <w:pPr>
        <w:pStyle w:val="TableParagraph"/>
        <w:tabs>
          <w:tab w:val="left" w:pos="454"/>
        </w:tabs>
        <w:jc w:val="center"/>
        <w:rPr>
          <w:rFonts w:ascii="Times New Roman" w:hAnsi="Times New Roman" w:cs="Times New Roman"/>
          <w:b/>
          <w:bCs/>
          <w:u w:val="single"/>
        </w:rPr>
      </w:pPr>
      <w:r w:rsidRPr="00FC32C3">
        <w:rPr>
          <w:rFonts w:ascii="Times New Roman" w:hAnsi="Times New Roman" w:cs="Times New Roman"/>
          <w:b/>
          <w:bCs/>
          <w:sz w:val="24"/>
          <w:szCs w:val="24"/>
          <w:u w:val="single"/>
        </w:rPr>
        <w:t>Annexe</w:t>
      </w:r>
      <w:r w:rsidR="00255593" w:rsidRPr="00FC32C3">
        <w:rPr>
          <w:rFonts w:ascii="Times New Roman" w:hAnsi="Times New Roman" w:cs="Times New Roman"/>
          <w:b/>
          <w:bCs/>
          <w:sz w:val="24"/>
          <w:szCs w:val="24"/>
          <w:u w:val="single"/>
        </w:rPr>
        <w:t xml:space="preserve"> : exemples de mention pour la politique de confidentialité </w:t>
      </w:r>
    </w:p>
    <w:p w14:paraId="2CBD7A44" w14:textId="649FD706" w:rsidR="006B448A" w:rsidRPr="004D2231" w:rsidRDefault="006B448A" w:rsidP="006B448A">
      <w:pPr>
        <w:pStyle w:val="TableParagraph"/>
        <w:tabs>
          <w:tab w:val="left" w:pos="454"/>
        </w:tabs>
        <w:rPr>
          <w:rFonts w:ascii="Times New Roman" w:hAnsi="Times New Roman" w:cs="Times New Roman"/>
          <w:b/>
          <w:bCs/>
          <w:u w:val="single"/>
        </w:rPr>
      </w:pPr>
    </w:p>
    <w:p w14:paraId="7B2FE319" w14:textId="3578C981" w:rsidR="00D46AB3" w:rsidRPr="004D2231" w:rsidRDefault="006B448A" w:rsidP="006B448A">
      <w:pPr>
        <w:pStyle w:val="TableParagraph"/>
        <w:ind w:firstLine="0"/>
        <w:jc w:val="both"/>
        <w:rPr>
          <w:rFonts w:ascii="Times New Roman" w:hAnsi="Times New Roman" w:cs="Times New Roman"/>
        </w:rPr>
      </w:pPr>
      <w:r w:rsidRPr="004D2231">
        <w:rPr>
          <w:rFonts w:ascii="Times New Roman" w:hAnsi="Times New Roman" w:cs="Times New Roman"/>
        </w:rPr>
        <w:t xml:space="preserve">Il est proposé ci-après des exemples de mention </w:t>
      </w:r>
      <w:r w:rsidR="004D2231" w:rsidRPr="004D2231">
        <w:rPr>
          <w:rFonts w:ascii="Times New Roman" w:hAnsi="Times New Roman" w:cs="Times New Roman"/>
        </w:rPr>
        <w:t xml:space="preserve">relative à la politique de confidentialité de l’entreprise et </w:t>
      </w:r>
      <w:r w:rsidRPr="004D2231">
        <w:rPr>
          <w:rFonts w:ascii="Times New Roman" w:hAnsi="Times New Roman" w:cs="Times New Roman"/>
        </w:rPr>
        <w:t>à intégrer dans le devis</w:t>
      </w:r>
      <w:r w:rsidR="004D2231" w:rsidRPr="004D2231">
        <w:rPr>
          <w:rFonts w:ascii="Times New Roman" w:hAnsi="Times New Roman" w:cs="Times New Roman"/>
        </w:rPr>
        <w:t>.</w:t>
      </w:r>
    </w:p>
    <w:p w14:paraId="328D496E" w14:textId="77777777" w:rsidR="006B448A" w:rsidRPr="004D2231" w:rsidRDefault="006B448A" w:rsidP="00D46AB3">
      <w:pPr>
        <w:pStyle w:val="TableParagraph"/>
        <w:tabs>
          <w:tab w:val="left" w:pos="454"/>
        </w:tabs>
        <w:jc w:val="both"/>
        <w:rPr>
          <w:rFonts w:ascii="Times New Roman" w:hAnsi="Times New Roman" w:cs="Times New Roman"/>
        </w:rPr>
      </w:pPr>
    </w:p>
    <w:p w14:paraId="704BAC59" w14:textId="24EB102D" w:rsidR="008A779C" w:rsidRPr="004D2231" w:rsidRDefault="00D46AB3" w:rsidP="000A2541">
      <w:pPr>
        <w:pStyle w:val="TableParagraph"/>
        <w:numPr>
          <w:ilvl w:val="0"/>
          <w:numId w:val="8"/>
        </w:numPr>
        <w:tabs>
          <w:tab w:val="left" w:pos="454"/>
        </w:tabs>
        <w:jc w:val="both"/>
        <w:rPr>
          <w:rFonts w:ascii="Times New Roman" w:hAnsi="Times New Roman" w:cs="Times New Roman"/>
        </w:rPr>
      </w:pPr>
      <w:r w:rsidRPr="004D2231">
        <w:rPr>
          <w:rFonts w:ascii="Times New Roman" w:hAnsi="Times New Roman" w:cs="Times New Roman"/>
          <w:b/>
          <w:bCs/>
        </w:rPr>
        <w:t>Si l’entreprise a un site internet sur lequel est indiqué sa politique de confidenti</w:t>
      </w:r>
      <w:r w:rsidR="00255593" w:rsidRPr="004D2231">
        <w:rPr>
          <w:rFonts w:ascii="Times New Roman" w:hAnsi="Times New Roman" w:cs="Times New Roman"/>
          <w:b/>
          <w:bCs/>
        </w:rPr>
        <w:t>ali</w:t>
      </w:r>
      <w:r w:rsidRPr="004D2231">
        <w:rPr>
          <w:rFonts w:ascii="Times New Roman" w:hAnsi="Times New Roman" w:cs="Times New Roman"/>
          <w:b/>
          <w:bCs/>
        </w:rPr>
        <w:t>té</w:t>
      </w:r>
      <w:r w:rsidR="00683C33">
        <w:rPr>
          <w:rFonts w:ascii="Times New Roman" w:hAnsi="Times New Roman" w:cs="Times New Roman"/>
        </w:rPr>
        <w:t> :</w:t>
      </w:r>
    </w:p>
    <w:p w14:paraId="59AC633D" w14:textId="0E731725" w:rsidR="00D46AB3" w:rsidRPr="004D2231" w:rsidRDefault="00D46AB3" w:rsidP="008A779C">
      <w:pPr>
        <w:pStyle w:val="TableParagraph"/>
        <w:tabs>
          <w:tab w:val="left" w:pos="454"/>
        </w:tabs>
        <w:ind w:left="813" w:firstLine="0"/>
        <w:jc w:val="both"/>
        <w:rPr>
          <w:rFonts w:ascii="Times New Roman" w:hAnsi="Times New Roman" w:cs="Times New Roman"/>
        </w:rPr>
      </w:pPr>
      <w:r w:rsidRPr="004D2231">
        <w:rPr>
          <w:rFonts w:ascii="Times New Roman" w:hAnsi="Times New Roman" w:cs="Times New Roman"/>
        </w:rPr>
        <w:t>« Les informations recueillies sur le client par l’entreprise sont indispensables au bon traitement de son contrat. Elles seront conservées aussi longtemps que nécessaire pour l’exécution du contrat et pour l’accomplissement d’une obligation légale, telle que les garanties éventuellement applicables à l’issue des travaux commandés ou à l’exercice d’une prérogative légale. Le client peut consulter la politique de confidentialité qui fait partie intégrante des Conditions générales de l’entreprise sur son site internet (indiquer le lien hypertexte vers la politique de confidentialité du site internet de l’entreprise). »</w:t>
      </w:r>
    </w:p>
    <w:p w14:paraId="5E82C013" w14:textId="590F7164" w:rsidR="000A2541" w:rsidRPr="004D2231" w:rsidRDefault="000A2541" w:rsidP="000A2541">
      <w:pPr>
        <w:pStyle w:val="TableParagraph"/>
        <w:tabs>
          <w:tab w:val="left" w:pos="454"/>
        </w:tabs>
        <w:jc w:val="both"/>
        <w:rPr>
          <w:rFonts w:ascii="Times New Roman" w:hAnsi="Times New Roman" w:cs="Times New Roman"/>
        </w:rPr>
      </w:pPr>
    </w:p>
    <w:p w14:paraId="407DF706" w14:textId="5A04B995" w:rsidR="000A2541" w:rsidRPr="004D2231" w:rsidRDefault="000A2541" w:rsidP="000A2541">
      <w:pPr>
        <w:pStyle w:val="TableParagraph"/>
        <w:numPr>
          <w:ilvl w:val="0"/>
          <w:numId w:val="8"/>
        </w:numPr>
        <w:tabs>
          <w:tab w:val="left" w:pos="454"/>
        </w:tabs>
        <w:jc w:val="both"/>
        <w:rPr>
          <w:rFonts w:ascii="Times New Roman" w:hAnsi="Times New Roman" w:cs="Times New Roman"/>
        </w:rPr>
      </w:pPr>
      <w:r w:rsidRPr="004D2231">
        <w:rPr>
          <w:rFonts w:ascii="Times New Roman" w:hAnsi="Times New Roman" w:cs="Times New Roman"/>
          <w:b/>
          <w:bCs/>
        </w:rPr>
        <w:t>Si l’entreprise n’a pas de site internet sur lequel est indiqué sa politique de confidentialité</w:t>
      </w:r>
    </w:p>
    <w:p w14:paraId="2D599E9B" w14:textId="77777777" w:rsidR="00370737" w:rsidRPr="00B03184" w:rsidRDefault="00370737" w:rsidP="00370737">
      <w:pPr>
        <w:spacing w:after="0"/>
        <w:rPr>
          <w:rFonts w:ascii="Times New Roman" w:hAnsi="Times New Roman" w:cs="Times New Roman"/>
          <w:sz w:val="22"/>
        </w:rPr>
      </w:pPr>
    </w:p>
    <w:p w14:paraId="6061DC3B" w14:textId="36876167" w:rsidR="000A2541" w:rsidRPr="00B03184" w:rsidRDefault="004327F8" w:rsidP="00B03184">
      <w:pPr>
        <w:spacing w:after="0"/>
        <w:ind w:firstLine="708"/>
        <w:rPr>
          <w:rFonts w:ascii="Times New Roman" w:hAnsi="Times New Roman" w:cs="Times New Roman"/>
          <w:b/>
          <w:bCs/>
          <w:sz w:val="22"/>
        </w:rPr>
      </w:pPr>
      <w:r w:rsidRPr="00B03184">
        <w:rPr>
          <w:rFonts w:ascii="Times New Roman" w:hAnsi="Times New Roman" w:cs="Times New Roman"/>
          <w:b/>
          <w:bCs/>
          <w:sz w:val="22"/>
        </w:rPr>
        <w:t>Exemple 1 de mention</w:t>
      </w:r>
      <w:r w:rsidR="00D030DF" w:rsidRPr="00B03184">
        <w:rPr>
          <w:rFonts w:ascii="Times New Roman" w:hAnsi="Times New Roman" w:cs="Times New Roman"/>
          <w:b/>
          <w:bCs/>
          <w:sz w:val="22"/>
        </w:rPr>
        <w:t xml:space="preserve"> pour la politique de confidentialité</w:t>
      </w:r>
    </w:p>
    <w:p w14:paraId="106877B5" w14:textId="77777777" w:rsidR="00711562" w:rsidRPr="004D2231" w:rsidRDefault="00711562" w:rsidP="00370737">
      <w:pPr>
        <w:spacing w:after="0"/>
        <w:ind w:firstLine="453"/>
        <w:rPr>
          <w:rFonts w:ascii="Times New Roman" w:hAnsi="Times New Roman" w:cs="Times New Roman"/>
          <w:b/>
          <w:bCs/>
          <w:sz w:val="22"/>
          <w:u w:val="single"/>
        </w:rPr>
      </w:pPr>
    </w:p>
    <w:p w14:paraId="0758B00F" w14:textId="548AECBD" w:rsidR="00FC32C3" w:rsidRDefault="001870CE" w:rsidP="006F2078">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b/>
          <w:bCs/>
          <w:color w:val="000000" w:themeColor="text1"/>
        </w:rPr>
        <w:tab/>
      </w:r>
      <w:r w:rsidR="000A2541" w:rsidRPr="004D2231">
        <w:rPr>
          <w:rFonts w:ascii="Times New Roman" w:hAnsi="Times New Roman" w:cs="Times New Roman"/>
          <w:color w:val="000000" w:themeColor="text1"/>
        </w:rPr>
        <w:t>« Les informations recueillies sur le client par l’entreprise sont indispensables au bon traitement de son contrat. Elles seront conservées aussi longtemps que nécessaire pour l’exécution du contrat et pour l’accomplissement d’une obligation légale, telle que les garanties éventuellement applicables à l’issue des travaux commandés ou à l’exercice d’une prérogative légale.</w:t>
      </w:r>
    </w:p>
    <w:p w14:paraId="70A8FAEE" w14:textId="77777777" w:rsidR="006F2078" w:rsidRPr="004D2231" w:rsidRDefault="006F2078" w:rsidP="006F2078">
      <w:pPr>
        <w:pStyle w:val="TableParagraph"/>
        <w:tabs>
          <w:tab w:val="left" w:pos="454"/>
        </w:tabs>
        <w:spacing w:before="0" w:line="261" w:lineRule="auto"/>
        <w:ind w:right="198"/>
        <w:jc w:val="both"/>
        <w:rPr>
          <w:rFonts w:ascii="Times New Roman" w:hAnsi="Times New Roman" w:cs="Times New Roman"/>
          <w:color w:val="000000" w:themeColor="text1"/>
        </w:rPr>
      </w:pPr>
    </w:p>
    <w:p w14:paraId="7BF777EA" w14:textId="77777777" w:rsidR="000A2541" w:rsidRPr="004D2231" w:rsidRDefault="000A2541" w:rsidP="004327F8">
      <w:pPr>
        <w:pStyle w:val="TableParagraph"/>
        <w:tabs>
          <w:tab w:val="left" w:pos="454"/>
        </w:tabs>
        <w:ind w:left="800"/>
        <w:jc w:val="both"/>
        <w:rPr>
          <w:rFonts w:ascii="Times New Roman" w:hAnsi="Times New Roman" w:cs="Times New Roman"/>
        </w:rPr>
      </w:pPr>
      <w:r w:rsidRPr="004D2231">
        <w:rPr>
          <w:rFonts w:ascii="Times New Roman" w:hAnsi="Times New Roman" w:cs="Times New Roman"/>
        </w:rPr>
        <w:lastRenderedPageBreak/>
        <w:t>Le responsable du traitement des données est l’entreprise :</w:t>
      </w:r>
    </w:p>
    <w:p w14:paraId="710D105B" w14:textId="62267ECB" w:rsidR="000A2541" w:rsidRPr="004D2231" w:rsidRDefault="000A2541" w:rsidP="00370737">
      <w:pPr>
        <w:pStyle w:val="TableParagraph"/>
        <w:tabs>
          <w:tab w:val="left" w:pos="454"/>
        </w:tabs>
        <w:ind w:left="800"/>
        <w:jc w:val="both"/>
        <w:rPr>
          <w:rFonts w:ascii="Times New Roman" w:hAnsi="Times New Roman" w:cs="Times New Roman"/>
        </w:rPr>
      </w:pPr>
      <w:r w:rsidRPr="004D2231">
        <w:rPr>
          <w:rFonts w:ascii="Times New Roman" w:hAnsi="Times New Roman" w:cs="Times New Roman"/>
        </w:rPr>
        <w:t>Nom : ......................................................................................................</w:t>
      </w:r>
    </w:p>
    <w:p w14:paraId="1D396D32" w14:textId="6C9F8299" w:rsidR="000A2541" w:rsidRPr="004D2231" w:rsidRDefault="000A2541" w:rsidP="004327F8">
      <w:pPr>
        <w:pStyle w:val="TableParagraph"/>
        <w:tabs>
          <w:tab w:val="left" w:pos="454"/>
        </w:tabs>
        <w:ind w:left="800"/>
        <w:jc w:val="both"/>
        <w:rPr>
          <w:rFonts w:ascii="Times New Roman" w:hAnsi="Times New Roman" w:cs="Times New Roman"/>
        </w:rPr>
      </w:pPr>
      <w:proofErr w:type="gramStart"/>
      <w:r w:rsidRPr="004D2231">
        <w:rPr>
          <w:rFonts w:ascii="Times New Roman" w:hAnsi="Times New Roman" w:cs="Times New Roman"/>
        </w:rPr>
        <w:t>Email</w:t>
      </w:r>
      <w:proofErr w:type="gramEnd"/>
      <w:r w:rsidR="00370737" w:rsidRPr="004D2231">
        <w:rPr>
          <w:rFonts w:ascii="Times New Roman" w:hAnsi="Times New Roman" w:cs="Times New Roman"/>
        </w:rPr>
        <w:t xml:space="preserve"> : </w:t>
      </w:r>
      <w:r w:rsidRPr="004D2231">
        <w:rPr>
          <w:rFonts w:ascii="Times New Roman" w:hAnsi="Times New Roman" w:cs="Times New Roman"/>
        </w:rPr>
        <w:t>......................................................................</w:t>
      </w:r>
    </w:p>
    <w:p w14:paraId="3F1ECDA3" w14:textId="5C52E441" w:rsidR="000A2541" w:rsidRPr="004D2231" w:rsidRDefault="00370737" w:rsidP="00370737">
      <w:pPr>
        <w:pStyle w:val="TableParagraph"/>
        <w:tabs>
          <w:tab w:val="left" w:pos="454"/>
        </w:tabs>
        <w:ind w:left="347"/>
        <w:rPr>
          <w:rFonts w:ascii="Times New Roman" w:hAnsi="Times New Roman" w:cs="Times New Roman"/>
        </w:rPr>
      </w:pPr>
      <w:r w:rsidRPr="004D2231">
        <w:rPr>
          <w:rFonts w:ascii="Times New Roman" w:hAnsi="Times New Roman" w:cs="Times New Roman"/>
        </w:rPr>
        <w:tab/>
      </w:r>
      <w:r w:rsidRPr="004D2231">
        <w:rPr>
          <w:rFonts w:ascii="Times New Roman" w:hAnsi="Times New Roman" w:cs="Times New Roman"/>
        </w:rPr>
        <w:tab/>
      </w:r>
      <w:r w:rsidR="000A2541" w:rsidRPr="004D2231">
        <w:rPr>
          <w:rFonts w:ascii="Times New Roman" w:hAnsi="Times New Roman" w:cs="Times New Roman"/>
        </w:rPr>
        <w:t>Coordonnées postales</w:t>
      </w:r>
      <w:r w:rsidR="006F2078">
        <w:rPr>
          <w:rFonts w:ascii="Times New Roman" w:hAnsi="Times New Roman" w:cs="Times New Roman"/>
        </w:rPr>
        <w:t> :</w:t>
      </w:r>
      <w:r w:rsidR="00BA0196">
        <w:rPr>
          <w:rFonts w:ascii="Times New Roman" w:hAnsi="Times New Roman" w:cs="Times New Roman"/>
        </w:rPr>
        <w:t xml:space="preserve"> </w:t>
      </w:r>
      <w:r w:rsidRPr="004D2231">
        <w:rPr>
          <w:rFonts w:ascii="Times New Roman" w:hAnsi="Times New Roman" w:cs="Times New Roman"/>
        </w:rPr>
        <w:t>......................................................................................................</w:t>
      </w:r>
    </w:p>
    <w:p w14:paraId="3F213F72" w14:textId="798BCEF4" w:rsidR="00711562" w:rsidRPr="004D2231" w:rsidRDefault="00711562" w:rsidP="004327F8">
      <w:pPr>
        <w:pStyle w:val="TableParagraph"/>
        <w:tabs>
          <w:tab w:val="left" w:pos="454"/>
        </w:tabs>
        <w:ind w:left="800"/>
        <w:jc w:val="both"/>
        <w:rPr>
          <w:rFonts w:ascii="Times New Roman" w:hAnsi="Times New Roman" w:cs="Times New Roman"/>
        </w:rPr>
      </w:pPr>
    </w:p>
    <w:p w14:paraId="3FF94744" w14:textId="15B2D4B8" w:rsidR="000A2541" w:rsidRPr="004D2231" w:rsidRDefault="00370737" w:rsidP="00370737">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0A2541" w:rsidRPr="004D2231">
        <w:rPr>
          <w:rFonts w:ascii="Times New Roman" w:hAnsi="Times New Roman" w:cs="Times New Roman"/>
          <w:color w:val="000000" w:themeColor="text1"/>
        </w:rPr>
        <w:t>L’accès aux données personnelles sera strictement limité aux employés habilités de l’entreprise. Les informations recueillies pourront éventuellement être communiquées à des tiers liés à l’entreprise par contrat pour l’exécution de tâches sous-traitées.</w:t>
      </w:r>
    </w:p>
    <w:p w14:paraId="4CF9B0CB" w14:textId="77777777" w:rsidR="001870CE" w:rsidRPr="004D2231" w:rsidRDefault="001870CE" w:rsidP="006F2078">
      <w:pPr>
        <w:pStyle w:val="TableParagraph"/>
        <w:tabs>
          <w:tab w:val="left" w:pos="454"/>
        </w:tabs>
        <w:spacing w:before="0"/>
        <w:ind w:left="800" w:hanging="346"/>
        <w:jc w:val="both"/>
        <w:rPr>
          <w:rFonts w:ascii="Times New Roman" w:hAnsi="Times New Roman" w:cs="Times New Roman"/>
        </w:rPr>
      </w:pPr>
    </w:p>
    <w:p w14:paraId="592FD8EA" w14:textId="46788F2F" w:rsidR="000A2541" w:rsidRPr="004D2231" w:rsidRDefault="00370737" w:rsidP="00370737">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0A2541" w:rsidRPr="004D2231">
        <w:rPr>
          <w:rFonts w:ascii="Times New Roman" w:hAnsi="Times New Roman" w:cs="Times New Roman"/>
          <w:color w:val="000000" w:themeColor="text1"/>
        </w:rPr>
        <w:t>Conformément à la loi n°78-17 « Informatique et Libertés » et au Règlement Européen n°2016/679, le client dispose d’un droit d’accès, de rectification, d’effacement, de limitation et de portabilité des données le concernant, ainsi que du droit de s’opposer au traitement pour motif légitime, droits qu’il peut exercer en s’adressant à l’entreprise (coordonnées ci-dessus), en joignant un justificatif de son identité valide. Le client peut également définir des directives relatives au sort de ces données après sa mort.</w:t>
      </w:r>
    </w:p>
    <w:p w14:paraId="7E1181C8" w14:textId="77777777" w:rsidR="001870CE" w:rsidRPr="004D2231" w:rsidRDefault="001870CE" w:rsidP="006F2078">
      <w:pPr>
        <w:pStyle w:val="TableParagraph"/>
        <w:tabs>
          <w:tab w:val="left" w:pos="454"/>
        </w:tabs>
        <w:spacing w:before="0"/>
        <w:ind w:left="800" w:hanging="346"/>
        <w:jc w:val="both"/>
        <w:rPr>
          <w:rFonts w:ascii="Times New Roman" w:hAnsi="Times New Roman" w:cs="Times New Roman"/>
        </w:rPr>
      </w:pPr>
    </w:p>
    <w:p w14:paraId="1BA1615A" w14:textId="1AAA12AC" w:rsidR="000A2541" w:rsidRPr="004D2231" w:rsidRDefault="000A2541" w:rsidP="004327F8">
      <w:pPr>
        <w:pStyle w:val="TableParagraph"/>
        <w:tabs>
          <w:tab w:val="left" w:pos="454"/>
        </w:tabs>
        <w:ind w:left="800"/>
        <w:jc w:val="both"/>
        <w:rPr>
          <w:rFonts w:ascii="Times New Roman" w:hAnsi="Times New Roman" w:cs="Times New Roman"/>
        </w:rPr>
      </w:pPr>
      <w:r w:rsidRPr="004D2231">
        <w:rPr>
          <w:rFonts w:ascii="Times New Roman" w:hAnsi="Times New Roman" w:cs="Times New Roman"/>
        </w:rPr>
        <w:t>En cas de réclamation, le client peut contacter la CNIL. »</w:t>
      </w:r>
    </w:p>
    <w:p w14:paraId="099B2130" w14:textId="25BD4FC7" w:rsidR="004327F8" w:rsidRPr="004D2231" w:rsidRDefault="004327F8" w:rsidP="000A2541">
      <w:pPr>
        <w:autoSpaceDE w:val="0"/>
        <w:autoSpaceDN w:val="0"/>
        <w:jc w:val="both"/>
        <w:rPr>
          <w:color w:val="000000"/>
          <w:sz w:val="22"/>
        </w:rPr>
      </w:pPr>
    </w:p>
    <w:p w14:paraId="620CF181" w14:textId="19D90AFE" w:rsidR="00D030DF" w:rsidRPr="00B03184" w:rsidRDefault="00370737" w:rsidP="00B03184">
      <w:pPr>
        <w:spacing w:after="0"/>
        <w:ind w:firstLine="708"/>
        <w:rPr>
          <w:rFonts w:ascii="Times New Roman" w:hAnsi="Times New Roman" w:cs="Times New Roman"/>
          <w:b/>
          <w:bCs/>
          <w:sz w:val="22"/>
        </w:rPr>
      </w:pPr>
      <w:r w:rsidRPr="00B03184">
        <w:rPr>
          <w:rFonts w:ascii="Times New Roman" w:hAnsi="Times New Roman" w:cs="Times New Roman"/>
          <w:b/>
          <w:bCs/>
          <w:sz w:val="22"/>
        </w:rPr>
        <w:t xml:space="preserve">Exemple 2 de mention </w:t>
      </w:r>
      <w:r w:rsidR="00D030DF" w:rsidRPr="00B03184">
        <w:rPr>
          <w:rFonts w:ascii="Times New Roman" w:hAnsi="Times New Roman" w:cs="Times New Roman"/>
          <w:b/>
          <w:bCs/>
          <w:sz w:val="22"/>
        </w:rPr>
        <w:t>pour la politique de confidentialité</w:t>
      </w:r>
    </w:p>
    <w:p w14:paraId="6AAA3A44" w14:textId="2599D6FA" w:rsidR="00370737" w:rsidRPr="004D2231" w:rsidRDefault="00370737" w:rsidP="00711562">
      <w:pPr>
        <w:spacing w:after="0"/>
        <w:ind w:firstLine="453"/>
        <w:rPr>
          <w:rFonts w:ascii="Times New Roman" w:hAnsi="Times New Roman" w:cs="Times New Roman"/>
          <w:b/>
          <w:bCs/>
          <w:sz w:val="22"/>
          <w:u w:val="single"/>
        </w:rPr>
      </w:pPr>
    </w:p>
    <w:p w14:paraId="0D4133D0" w14:textId="399D94BD" w:rsidR="004327F8" w:rsidRPr="004D2231" w:rsidRDefault="00D030DF" w:rsidP="00D030DF">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4327F8" w:rsidRPr="004D2231">
        <w:rPr>
          <w:rFonts w:ascii="Times New Roman" w:hAnsi="Times New Roman" w:cs="Times New Roman"/>
          <w:color w:val="000000" w:themeColor="text1"/>
        </w:rPr>
        <w:t xml:space="preserve">« L’ensemble des informations personnelles du client collectées par l’entreprise sont nécessaires à la conclusion et à l’exécution du présent contrat et seront principalement utilisées pour la bonne gestion des relations contractuelles. </w:t>
      </w:r>
    </w:p>
    <w:p w14:paraId="196D7793" w14:textId="77777777" w:rsidR="004327F8" w:rsidRPr="006F2078" w:rsidRDefault="004327F8" w:rsidP="006F2078">
      <w:pPr>
        <w:pStyle w:val="TableParagraph"/>
        <w:tabs>
          <w:tab w:val="left" w:pos="454"/>
        </w:tabs>
        <w:spacing w:before="0"/>
        <w:ind w:left="800" w:hanging="346"/>
        <w:jc w:val="both"/>
        <w:rPr>
          <w:rFonts w:ascii="Times New Roman" w:hAnsi="Times New Roman" w:cs="Times New Roman"/>
        </w:rPr>
      </w:pPr>
      <w:r w:rsidRPr="006F2078">
        <w:rPr>
          <w:rFonts w:ascii="Times New Roman" w:hAnsi="Times New Roman" w:cs="Times New Roman"/>
        </w:rPr>
        <w:t> </w:t>
      </w:r>
    </w:p>
    <w:p w14:paraId="1791010C" w14:textId="3CF34961" w:rsidR="004327F8" w:rsidRPr="004D2231" w:rsidRDefault="00D030DF" w:rsidP="00D030DF">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4327F8" w:rsidRPr="004D2231">
        <w:rPr>
          <w:rFonts w:ascii="Times New Roman" w:hAnsi="Times New Roman" w:cs="Times New Roman"/>
          <w:color w:val="000000" w:themeColor="text1"/>
        </w:rPr>
        <w:t>Les informations personnelles du client seront conservées aussi longtemps que nécessaire à l’exécution du contrat, à l’accomplissement par l’entreprise de ses obligations légales et règlementaires ou encore à l’exercice des prérogatives lui étant reconnues par la loi et la jurisprudence. Pendant cette période, l’entreprise met en place tous les moyens aptes à assurer la confidentialité et la sécurité des données personnelles collectées, de manière à empêcher leur endommagement, effacement ou accès par des tiers non autorisés.</w:t>
      </w:r>
    </w:p>
    <w:p w14:paraId="30E1D724" w14:textId="77777777" w:rsidR="004327F8" w:rsidRPr="006F2078" w:rsidRDefault="004327F8" w:rsidP="006F2078">
      <w:pPr>
        <w:pStyle w:val="TableParagraph"/>
        <w:tabs>
          <w:tab w:val="left" w:pos="454"/>
        </w:tabs>
        <w:spacing w:before="0"/>
        <w:ind w:left="800" w:hanging="346"/>
        <w:jc w:val="both"/>
        <w:rPr>
          <w:rFonts w:ascii="Times New Roman" w:hAnsi="Times New Roman" w:cs="Times New Roman"/>
        </w:rPr>
      </w:pPr>
      <w:r w:rsidRPr="006F2078">
        <w:rPr>
          <w:rFonts w:ascii="Times New Roman" w:hAnsi="Times New Roman" w:cs="Times New Roman"/>
        </w:rPr>
        <w:t> </w:t>
      </w:r>
    </w:p>
    <w:p w14:paraId="6307593E" w14:textId="62A05BEC" w:rsidR="004327F8" w:rsidRPr="004D2231" w:rsidRDefault="00D030DF" w:rsidP="00D030DF">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4327F8" w:rsidRPr="004D2231">
        <w:rPr>
          <w:rFonts w:ascii="Times New Roman" w:hAnsi="Times New Roman" w:cs="Times New Roman"/>
          <w:color w:val="000000" w:themeColor="text1"/>
        </w:rPr>
        <w:t xml:space="preserve">L'accès aux données personnelles est strictement limité aux employés et préposés de l’entreprise, habilités à les traiter en raison de leurs fonctions, ainsi qu’à des tiers éventuellement liés contractuellement à l’entreprise pour l'exécution de tâches sous-traitées nécessaires à l’exécution du contrat, sans qu’une autorisation du client ne soit nécessaire. Le client est également informé que ses informations personnelles seront, le cas échéant, transmises à l’organisme de qualification pour l’instruction du dossier qualification chantier. En dehors des cas énoncés ci-dessus, l’entreprise s'engage à ne pas vendre, louer, céder ou donner accès à des tiers aux données sans consentement préalable du client, à moins d’y être contrainte en raison d’un motif légitime (obligation légale, lutte contre la fraude ou l’abus, exercice des droits de la défense, etc.). </w:t>
      </w:r>
    </w:p>
    <w:p w14:paraId="2BF77F35" w14:textId="77777777" w:rsidR="004327F8" w:rsidRPr="004D2231" w:rsidRDefault="004327F8" w:rsidP="006F2078">
      <w:pPr>
        <w:pStyle w:val="TableParagraph"/>
        <w:tabs>
          <w:tab w:val="left" w:pos="454"/>
        </w:tabs>
        <w:spacing w:before="0"/>
        <w:ind w:left="800" w:hanging="346"/>
        <w:jc w:val="both"/>
        <w:rPr>
          <w:rFonts w:ascii="Times New Roman" w:hAnsi="Times New Roman" w:cs="Times New Roman"/>
          <w:color w:val="000000" w:themeColor="text1"/>
        </w:rPr>
      </w:pPr>
      <w:r w:rsidRPr="004D2231">
        <w:rPr>
          <w:rFonts w:ascii="Times New Roman" w:hAnsi="Times New Roman" w:cs="Times New Roman"/>
          <w:color w:val="000000" w:themeColor="text1"/>
        </w:rPr>
        <w:t> </w:t>
      </w:r>
    </w:p>
    <w:p w14:paraId="50D7EC5E" w14:textId="04C70891" w:rsidR="004327F8" w:rsidRPr="004D2231" w:rsidRDefault="00D030DF" w:rsidP="00D030DF">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4327F8" w:rsidRPr="004D2231">
        <w:rPr>
          <w:rFonts w:ascii="Times New Roman" w:hAnsi="Times New Roman" w:cs="Times New Roman"/>
          <w:color w:val="000000" w:themeColor="text1"/>
        </w:rPr>
        <w:t xml:space="preserve">Conformément aux dispositions légales et règlementaires applicables, le client bénéficie d’un droit d’accès, de rectification, de portabilité et d’effacement de ses données ou encore de limitation du traitement. Il peut également, pour des motifs légitimes, s’opposer au traitement des données le concernant. Le client peut, sous réserve de la production d’un justificatif d’identité valide, exercer ses droits en contactant l’entreprise au moyen des coordonnées mentionnées dans le contrat. </w:t>
      </w:r>
    </w:p>
    <w:p w14:paraId="0693C35E" w14:textId="77777777" w:rsidR="004327F8" w:rsidRPr="004D2231" w:rsidRDefault="004327F8" w:rsidP="006F2078">
      <w:pPr>
        <w:pStyle w:val="TableParagraph"/>
        <w:tabs>
          <w:tab w:val="left" w:pos="454"/>
        </w:tabs>
        <w:spacing w:before="0"/>
        <w:ind w:left="800" w:hanging="346"/>
        <w:jc w:val="both"/>
        <w:rPr>
          <w:rFonts w:ascii="Times New Roman" w:hAnsi="Times New Roman" w:cs="Times New Roman"/>
          <w:color w:val="000000" w:themeColor="text1"/>
        </w:rPr>
      </w:pPr>
      <w:r w:rsidRPr="004D2231">
        <w:rPr>
          <w:rFonts w:ascii="Times New Roman" w:hAnsi="Times New Roman" w:cs="Times New Roman"/>
          <w:color w:val="000000" w:themeColor="text1"/>
        </w:rPr>
        <w:t> </w:t>
      </w:r>
    </w:p>
    <w:p w14:paraId="6DBAB23B" w14:textId="541E341B" w:rsidR="004327F8" w:rsidRPr="004D2231" w:rsidRDefault="00D030DF" w:rsidP="00D030DF">
      <w:pPr>
        <w:pStyle w:val="TableParagraph"/>
        <w:tabs>
          <w:tab w:val="left" w:pos="454"/>
        </w:tabs>
        <w:spacing w:before="0" w:line="261" w:lineRule="auto"/>
        <w:ind w:right="198"/>
        <w:jc w:val="both"/>
        <w:rPr>
          <w:rFonts w:ascii="Times New Roman" w:hAnsi="Times New Roman" w:cs="Times New Roman"/>
          <w:color w:val="000000" w:themeColor="text1"/>
        </w:rPr>
      </w:pPr>
      <w:r w:rsidRPr="004D2231">
        <w:rPr>
          <w:rFonts w:ascii="Times New Roman" w:hAnsi="Times New Roman" w:cs="Times New Roman"/>
          <w:color w:val="000000" w:themeColor="text1"/>
        </w:rPr>
        <w:tab/>
      </w:r>
      <w:r w:rsidR="004327F8" w:rsidRPr="004D2231">
        <w:rPr>
          <w:rFonts w:ascii="Times New Roman" w:hAnsi="Times New Roman" w:cs="Times New Roman"/>
          <w:color w:val="000000" w:themeColor="text1"/>
        </w:rPr>
        <w:t>En cas de difficulté en lien avec la gestion de ses données personnelles, le client peut adresser une réclamation auprès de la Commission Nationale de l’Informatique et des Libertés (CNIL) ou de toute autre autorité compétente. »</w:t>
      </w:r>
    </w:p>
    <w:p w14:paraId="3C91574F" w14:textId="77777777" w:rsidR="000A2541" w:rsidRPr="004D2231" w:rsidRDefault="000A2541" w:rsidP="000A2541">
      <w:pPr>
        <w:pStyle w:val="TableParagraph"/>
        <w:tabs>
          <w:tab w:val="left" w:pos="454"/>
        </w:tabs>
        <w:jc w:val="both"/>
        <w:rPr>
          <w:rFonts w:ascii="Times New Roman" w:hAnsi="Times New Roman" w:cs="Times New Roman"/>
        </w:rPr>
      </w:pPr>
    </w:p>
    <w:p w14:paraId="484E24B5" w14:textId="730B7F88" w:rsidR="00DD07F5" w:rsidRPr="004D2231" w:rsidRDefault="00C92F68" w:rsidP="0041408D">
      <w:pPr>
        <w:spacing w:after="0"/>
        <w:ind w:left="471"/>
        <w:jc w:val="center"/>
        <w:rPr>
          <w:rFonts w:ascii="Times New Roman" w:hAnsi="Times New Roman" w:cs="Times New Roman"/>
          <w:sz w:val="22"/>
        </w:rPr>
      </w:pPr>
      <w:r w:rsidRPr="004D2231">
        <w:rPr>
          <w:rFonts w:ascii="Times New Roman" w:hAnsi="Times New Roman" w:cs="Times New Roman"/>
          <w:sz w:val="22"/>
        </w:rPr>
        <w:t>***</w:t>
      </w:r>
    </w:p>
    <w:p w14:paraId="4B4C42D4" w14:textId="77777777" w:rsidR="00DD07F5" w:rsidRPr="004D2231" w:rsidRDefault="00DD07F5" w:rsidP="0041408D">
      <w:pPr>
        <w:rPr>
          <w:rFonts w:ascii="Times New Roman" w:hAnsi="Times New Roman" w:cs="Times New Roman"/>
          <w:sz w:val="22"/>
        </w:rPr>
      </w:pPr>
    </w:p>
    <w:sectPr w:rsidR="00DD07F5" w:rsidRPr="004D2231" w:rsidSect="002B21A0">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8B9E" w14:textId="77777777" w:rsidR="00446C0B" w:rsidRDefault="00446C0B" w:rsidP="001A408A">
      <w:pPr>
        <w:spacing w:after="0" w:line="240" w:lineRule="auto"/>
      </w:pPr>
      <w:r>
        <w:separator/>
      </w:r>
    </w:p>
  </w:endnote>
  <w:endnote w:type="continuationSeparator" w:id="0">
    <w:p w14:paraId="374CF861" w14:textId="77777777" w:rsidR="00446C0B" w:rsidRDefault="00446C0B" w:rsidP="001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13F8" w14:textId="2CD211CA" w:rsidR="00896430" w:rsidRPr="00736DBC" w:rsidRDefault="00417745" w:rsidP="00417745">
    <w:pPr>
      <w:pStyle w:val="Pieddepage"/>
      <w:rPr>
        <w:rFonts w:ascii="Times New Roman" w:hAnsi="Times New Roman" w:cs="Times New Roman"/>
        <w:sz w:val="18"/>
        <w:szCs w:val="20"/>
      </w:rPr>
    </w:pPr>
    <w:r w:rsidRPr="00736DBC">
      <w:rPr>
        <w:rFonts w:ascii="Times New Roman" w:hAnsi="Times New Roman" w:cs="Times New Roman"/>
        <w:sz w:val="18"/>
        <w:szCs w:val="20"/>
      </w:rPr>
      <w:t xml:space="preserve">Qualification chantier – mentions sur les devis et factures </w:t>
    </w:r>
    <w:r w:rsidRPr="00736DBC">
      <w:rPr>
        <w:rFonts w:ascii="Times New Roman" w:hAnsi="Times New Roman" w:cs="Times New Roman"/>
        <w:sz w:val="18"/>
        <w:szCs w:val="20"/>
      </w:rPr>
      <w:tab/>
    </w:r>
    <w:r w:rsidR="00B4188E">
      <w:rPr>
        <w:rFonts w:ascii="Times New Roman" w:hAnsi="Times New Roman" w:cs="Times New Roman"/>
        <w:sz w:val="18"/>
        <w:szCs w:val="20"/>
      </w:rPr>
      <w:t xml:space="preserve">V.1 - </w:t>
    </w:r>
    <w:r w:rsidR="00896430" w:rsidRPr="00736DBC">
      <w:rPr>
        <w:rFonts w:ascii="Times New Roman" w:hAnsi="Times New Roman" w:cs="Times New Roman"/>
        <w:sz w:val="18"/>
        <w:szCs w:val="20"/>
      </w:rPr>
      <w:t>210</w:t>
    </w:r>
    <w:r w:rsidRPr="00736DBC">
      <w:rPr>
        <w:rFonts w:ascii="Times New Roman" w:hAnsi="Times New Roman" w:cs="Times New Roman"/>
        <w:sz w:val="18"/>
        <w:szCs w:val="20"/>
      </w:rPr>
      <w:t>32</w:t>
    </w:r>
    <w:r w:rsidR="00DD07F5">
      <w:rPr>
        <w:rFonts w:ascii="Times New Roman" w:hAnsi="Times New Roman" w:cs="Times New Roman"/>
        <w:sz w:val="18"/>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E41A" w14:textId="77777777" w:rsidR="00446C0B" w:rsidRDefault="00446C0B" w:rsidP="001A408A">
      <w:pPr>
        <w:spacing w:after="0" w:line="240" w:lineRule="auto"/>
      </w:pPr>
      <w:r>
        <w:separator/>
      </w:r>
    </w:p>
  </w:footnote>
  <w:footnote w:type="continuationSeparator" w:id="0">
    <w:p w14:paraId="4414E194" w14:textId="77777777" w:rsidR="00446C0B" w:rsidRDefault="00446C0B" w:rsidP="001A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3581"/>
    <w:multiLevelType w:val="hybridMultilevel"/>
    <w:tmpl w:val="7B503412"/>
    <w:lvl w:ilvl="0" w:tplc="040C000D">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 w15:restartNumberingAfterBreak="0">
    <w:nsid w:val="221F46BE"/>
    <w:multiLevelType w:val="hybridMultilevel"/>
    <w:tmpl w:val="6B1EB694"/>
    <w:lvl w:ilvl="0" w:tplc="040C000D">
      <w:start w:val="1"/>
      <w:numFmt w:val="bullet"/>
      <w:lvlText w:val=""/>
      <w:lvlJc w:val="left"/>
      <w:pPr>
        <w:ind w:left="796" w:hanging="347"/>
      </w:pPr>
      <w:rPr>
        <w:rFonts w:ascii="Wingdings" w:hAnsi="Wingdings" w:hint="default"/>
        <w:w w:val="118"/>
        <w:sz w:val="24"/>
        <w:szCs w:val="24"/>
        <w:lang w:val="fr-FR" w:eastAsia="en-US" w:bidi="ar-SA"/>
      </w:rPr>
    </w:lvl>
    <w:lvl w:ilvl="1" w:tplc="752C7256">
      <w:numFmt w:val="bullet"/>
      <w:lvlText w:val="•"/>
      <w:lvlJc w:val="left"/>
      <w:pPr>
        <w:ind w:left="1746" w:hanging="347"/>
      </w:pPr>
      <w:rPr>
        <w:rFonts w:hint="default"/>
        <w:lang w:val="fr-FR" w:eastAsia="en-US" w:bidi="ar-SA"/>
      </w:rPr>
    </w:lvl>
    <w:lvl w:ilvl="2" w:tplc="DFCAC8B0">
      <w:numFmt w:val="bullet"/>
      <w:lvlText w:val="•"/>
      <w:lvlJc w:val="left"/>
      <w:pPr>
        <w:ind w:left="2705" w:hanging="347"/>
      </w:pPr>
      <w:rPr>
        <w:rFonts w:hint="default"/>
        <w:lang w:val="fr-FR" w:eastAsia="en-US" w:bidi="ar-SA"/>
      </w:rPr>
    </w:lvl>
    <w:lvl w:ilvl="3" w:tplc="B06A74E2">
      <w:numFmt w:val="bullet"/>
      <w:lvlText w:val="•"/>
      <w:lvlJc w:val="left"/>
      <w:pPr>
        <w:ind w:left="3664" w:hanging="347"/>
      </w:pPr>
      <w:rPr>
        <w:rFonts w:hint="default"/>
        <w:lang w:val="fr-FR" w:eastAsia="en-US" w:bidi="ar-SA"/>
      </w:rPr>
    </w:lvl>
    <w:lvl w:ilvl="4" w:tplc="66AC3A68">
      <w:numFmt w:val="bullet"/>
      <w:lvlText w:val="•"/>
      <w:lvlJc w:val="left"/>
      <w:pPr>
        <w:ind w:left="4623" w:hanging="347"/>
      </w:pPr>
      <w:rPr>
        <w:rFonts w:hint="default"/>
        <w:lang w:val="fr-FR" w:eastAsia="en-US" w:bidi="ar-SA"/>
      </w:rPr>
    </w:lvl>
    <w:lvl w:ilvl="5" w:tplc="2FBC8EA6">
      <w:numFmt w:val="bullet"/>
      <w:lvlText w:val="•"/>
      <w:lvlJc w:val="left"/>
      <w:pPr>
        <w:ind w:left="5583" w:hanging="347"/>
      </w:pPr>
      <w:rPr>
        <w:rFonts w:hint="default"/>
        <w:lang w:val="fr-FR" w:eastAsia="en-US" w:bidi="ar-SA"/>
      </w:rPr>
    </w:lvl>
    <w:lvl w:ilvl="6" w:tplc="0F847812">
      <w:numFmt w:val="bullet"/>
      <w:lvlText w:val="•"/>
      <w:lvlJc w:val="left"/>
      <w:pPr>
        <w:ind w:left="6542" w:hanging="347"/>
      </w:pPr>
      <w:rPr>
        <w:rFonts w:hint="default"/>
        <w:lang w:val="fr-FR" w:eastAsia="en-US" w:bidi="ar-SA"/>
      </w:rPr>
    </w:lvl>
    <w:lvl w:ilvl="7" w:tplc="B88438CA">
      <w:numFmt w:val="bullet"/>
      <w:lvlText w:val="•"/>
      <w:lvlJc w:val="left"/>
      <w:pPr>
        <w:ind w:left="7501" w:hanging="347"/>
      </w:pPr>
      <w:rPr>
        <w:rFonts w:hint="default"/>
        <w:lang w:val="fr-FR" w:eastAsia="en-US" w:bidi="ar-SA"/>
      </w:rPr>
    </w:lvl>
    <w:lvl w:ilvl="8" w:tplc="25D23318">
      <w:numFmt w:val="bullet"/>
      <w:lvlText w:val="•"/>
      <w:lvlJc w:val="left"/>
      <w:pPr>
        <w:ind w:left="8460" w:hanging="347"/>
      </w:pPr>
      <w:rPr>
        <w:rFonts w:hint="default"/>
        <w:lang w:val="fr-FR" w:eastAsia="en-US" w:bidi="ar-SA"/>
      </w:rPr>
    </w:lvl>
  </w:abstractNum>
  <w:abstractNum w:abstractNumId="2" w15:restartNumberingAfterBreak="0">
    <w:nsid w:val="366C086A"/>
    <w:multiLevelType w:val="hybridMultilevel"/>
    <w:tmpl w:val="E80CC914"/>
    <w:lvl w:ilvl="0" w:tplc="42BA635C">
      <w:start w:val="1"/>
      <w:numFmt w:val="bullet"/>
      <w:lvlText w:val=""/>
      <w:lvlJc w:val="left"/>
      <w:pPr>
        <w:ind w:left="1776" w:hanging="360"/>
      </w:pPr>
      <w:rPr>
        <w:rFonts w:ascii="Wingdings" w:hAnsi="Wingdings" w:hint="default"/>
        <w:w w:val="118"/>
        <w:sz w:val="24"/>
        <w:szCs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91E64FC"/>
    <w:multiLevelType w:val="hybridMultilevel"/>
    <w:tmpl w:val="919EE504"/>
    <w:lvl w:ilvl="0" w:tplc="2E70DB1A">
      <w:start w:val="1"/>
      <w:numFmt w:val="bullet"/>
      <w:lvlText w:val="—"/>
      <w:lvlJc w:val="left"/>
      <w:pPr>
        <w:ind w:left="466" w:hanging="360"/>
      </w:pPr>
      <w:rPr>
        <w:rFonts w:ascii="Trebuchet MS" w:eastAsiaTheme="minorHAnsi" w:hAnsi="Trebuchet MS" w:cstheme="minorBidi" w:hint="default"/>
      </w:rPr>
    </w:lvl>
    <w:lvl w:ilvl="1" w:tplc="040C0003" w:tentative="1">
      <w:start w:val="1"/>
      <w:numFmt w:val="bullet"/>
      <w:lvlText w:val="o"/>
      <w:lvlJc w:val="left"/>
      <w:pPr>
        <w:ind w:left="1186" w:hanging="360"/>
      </w:pPr>
      <w:rPr>
        <w:rFonts w:ascii="Courier New" w:hAnsi="Courier New" w:cs="Courier New" w:hint="default"/>
      </w:rPr>
    </w:lvl>
    <w:lvl w:ilvl="2" w:tplc="040C0005" w:tentative="1">
      <w:start w:val="1"/>
      <w:numFmt w:val="bullet"/>
      <w:lvlText w:val=""/>
      <w:lvlJc w:val="left"/>
      <w:pPr>
        <w:ind w:left="1906" w:hanging="360"/>
      </w:pPr>
      <w:rPr>
        <w:rFonts w:ascii="Wingdings" w:hAnsi="Wingdings" w:hint="default"/>
      </w:rPr>
    </w:lvl>
    <w:lvl w:ilvl="3" w:tplc="040C0001" w:tentative="1">
      <w:start w:val="1"/>
      <w:numFmt w:val="bullet"/>
      <w:lvlText w:val=""/>
      <w:lvlJc w:val="left"/>
      <w:pPr>
        <w:ind w:left="2626" w:hanging="360"/>
      </w:pPr>
      <w:rPr>
        <w:rFonts w:ascii="Symbol" w:hAnsi="Symbol" w:hint="default"/>
      </w:rPr>
    </w:lvl>
    <w:lvl w:ilvl="4" w:tplc="040C0003" w:tentative="1">
      <w:start w:val="1"/>
      <w:numFmt w:val="bullet"/>
      <w:lvlText w:val="o"/>
      <w:lvlJc w:val="left"/>
      <w:pPr>
        <w:ind w:left="3346" w:hanging="360"/>
      </w:pPr>
      <w:rPr>
        <w:rFonts w:ascii="Courier New" w:hAnsi="Courier New" w:cs="Courier New" w:hint="default"/>
      </w:rPr>
    </w:lvl>
    <w:lvl w:ilvl="5" w:tplc="040C0005" w:tentative="1">
      <w:start w:val="1"/>
      <w:numFmt w:val="bullet"/>
      <w:lvlText w:val=""/>
      <w:lvlJc w:val="left"/>
      <w:pPr>
        <w:ind w:left="4066" w:hanging="360"/>
      </w:pPr>
      <w:rPr>
        <w:rFonts w:ascii="Wingdings" w:hAnsi="Wingdings" w:hint="default"/>
      </w:rPr>
    </w:lvl>
    <w:lvl w:ilvl="6" w:tplc="040C0001" w:tentative="1">
      <w:start w:val="1"/>
      <w:numFmt w:val="bullet"/>
      <w:lvlText w:val=""/>
      <w:lvlJc w:val="left"/>
      <w:pPr>
        <w:ind w:left="4786" w:hanging="360"/>
      </w:pPr>
      <w:rPr>
        <w:rFonts w:ascii="Symbol" w:hAnsi="Symbol" w:hint="default"/>
      </w:rPr>
    </w:lvl>
    <w:lvl w:ilvl="7" w:tplc="040C0003" w:tentative="1">
      <w:start w:val="1"/>
      <w:numFmt w:val="bullet"/>
      <w:lvlText w:val="o"/>
      <w:lvlJc w:val="left"/>
      <w:pPr>
        <w:ind w:left="5506" w:hanging="360"/>
      </w:pPr>
      <w:rPr>
        <w:rFonts w:ascii="Courier New" w:hAnsi="Courier New" w:cs="Courier New" w:hint="default"/>
      </w:rPr>
    </w:lvl>
    <w:lvl w:ilvl="8" w:tplc="040C0005" w:tentative="1">
      <w:start w:val="1"/>
      <w:numFmt w:val="bullet"/>
      <w:lvlText w:val=""/>
      <w:lvlJc w:val="left"/>
      <w:pPr>
        <w:ind w:left="6226" w:hanging="360"/>
      </w:pPr>
      <w:rPr>
        <w:rFonts w:ascii="Wingdings" w:hAnsi="Wingdings" w:hint="default"/>
      </w:rPr>
    </w:lvl>
  </w:abstractNum>
  <w:abstractNum w:abstractNumId="4" w15:restartNumberingAfterBreak="0">
    <w:nsid w:val="407F03F5"/>
    <w:multiLevelType w:val="hybridMultilevel"/>
    <w:tmpl w:val="DBFC1020"/>
    <w:lvl w:ilvl="0" w:tplc="E75E8ED2">
      <w:numFmt w:val="bullet"/>
      <w:lvlText w:val=""/>
      <w:lvlJc w:val="left"/>
      <w:pPr>
        <w:ind w:left="449" w:hanging="347"/>
      </w:pPr>
      <w:rPr>
        <w:rFonts w:ascii="Arial" w:eastAsia="Arial" w:hAnsi="Arial" w:cs="Arial" w:hint="default"/>
        <w:w w:val="118"/>
        <w:sz w:val="24"/>
        <w:szCs w:val="24"/>
        <w:lang w:val="fr-FR" w:eastAsia="en-US" w:bidi="ar-SA"/>
      </w:rPr>
    </w:lvl>
    <w:lvl w:ilvl="1" w:tplc="752C7256">
      <w:numFmt w:val="bullet"/>
      <w:lvlText w:val="•"/>
      <w:lvlJc w:val="left"/>
      <w:pPr>
        <w:ind w:left="1399" w:hanging="347"/>
      </w:pPr>
      <w:rPr>
        <w:rFonts w:hint="default"/>
        <w:lang w:val="fr-FR" w:eastAsia="en-US" w:bidi="ar-SA"/>
      </w:rPr>
    </w:lvl>
    <w:lvl w:ilvl="2" w:tplc="DFCAC8B0">
      <w:numFmt w:val="bullet"/>
      <w:lvlText w:val="•"/>
      <w:lvlJc w:val="left"/>
      <w:pPr>
        <w:ind w:left="2358" w:hanging="347"/>
      </w:pPr>
      <w:rPr>
        <w:rFonts w:hint="default"/>
        <w:lang w:val="fr-FR" w:eastAsia="en-US" w:bidi="ar-SA"/>
      </w:rPr>
    </w:lvl>
    <w:lvl w:ilvl="3" w:tplc="B06A74E2">
      <w:numFmt w:val="bullet"/>
      <w:lvlText w:val="•"/>
      <w:lvlJc w:val="left"/>
      <w:pPr>
        <w:ind w:left="3317" w:hanging="347"/>
      </w:pPr>
      <w:rPr>
        <w:rFonts w:hint="default"/>
        <w:lang w:val="fr-FR" w:eastAsia="en-US" w:bidi="ar-SA"/>
      </w:rPr>
    </w:lvl>
    <w:lvl w:ilvl="4" w:tplc="66AC3A68">
      <w:numFmt w:val="bullet"/>
      <w:lvlText w:val="•"/>
      <w:lvlJc w:val="left"/>
      <w:pPr>
        <w:ind w:left="4276" w:hanging="347"/>
      </w:pPr>
      <w:rPr>
        <w:rFonts w:hint="default"/>
        <w:lang w:val="fr-FR" w:eastAsia="en-US" w:bidi="ar-SA"/>
      </w:rPr>
    </w:lvl>
    <w:lvl w:ilvl="5" w:tplc="2FBC8EA6">
      <w:numFmt w:val="bullet"/>
      <w:lvlText w:val="•"/>
      <w:lvlJc w:val="left"/>
      <w:pPr>
        <w:ind w:left="5236" w:hanging="347"/>
      </w:pPr>
      <w:rPr>
        <w:rFonts w:hint="default"/>
        <w:lang w:val="fr-FR" w:eastAsia="en-US" w:bidi="ar-SA"/>
      </w:rPr>
    </w:lvl>
    <w:lvl w:ilvl="6" w:tplc="0F847812">
      <w:numFmt w:val="bullet"/>
      <w:lvlText w:val="•"/>
      <w:lvlJc w:val="left"/>
      <w:pPr>
        <w:ind w:left="6195" w:hanging="347"/>
      </w:pPr>
      <w:rPr>
        <w:rFonts w:hint="default"/>
        <w:lang w:val="fr-FR" w:eastAsia="en-US" w:bidi="ar-SA"/>
      </w:rPr>
    </w:lvl>
    <w:lvl w:ilvl="7" w:tplc="B88438CA">
      <w:numFmt w:val="bullet"/>
      <w:lvlText w:val="•"/>
      <w:lvlJc w:val="left"/>
      <w:pPr>
        <w:ind w:left="7154" w:hanging="347"/>
      </w:pPr>
      <w:rPr>
        <w:rFonts w:hint="default"/>
        <w:lang w:val="fr-FR" w:eastAsia="en-US" w:bidi="ar-SA"/>
      </w:rPr>
    </w:lvl>
    <w:lvl w:ilvl="8" w:tplc="25D23318">
      <w:numFmt w:val="bullet"/>
      <w:lvlText w:val="•"/>
      <w:lvlJc w:val="left"/>
      <w:pPr>
        <w:ind w:left="8113" w:hanging="347"/>
      </w:pPr>
      <w:rPr>
        <w:rFonts w:hint="default"/>
        <w:lang w:val="fr-FR" w:eastAsia="en-US" w:bidi="ar-SA"/>
      </w:rPr>
    </w:lvl>
  </w:abstractNum>
  <w:abstractNum w:abstractNumId="5" w15:restartNumberingAfterBreak="0">
    <w:nsid w:val="55E27E36"/>
    <w:multiLevelType w:val="hybridMultilevel"/>
    <w:tmpl w:val="4D8ECD08"/>
    <w:lvl w:ilvl="0" w:tplc="040C0001">
      <w:start w:val="1"/>
      <w:numFmt w:val="bullet"/>
      <w:lvlText w:val=""/>
      <w:lvlJc w:val="left"/>
      <w:pPr>
        <w:ind w:left="826" w:hanging="360"/>
      </w:pPr>
      <w:rPr>
        <w:rFonts w:ascii="Symbol" w:hAnsi="Symbol"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6" w15:restartNumberingAfterBreak="0">
    <w:nsid w:val="56CE7195"/>
    <w:multiLevelType w:val="hybridMultilevel"/>
    <w:tmpl w:val="4A66B2F8"/>
    <w:lvl w:ilvl="0" w:tplc="54A6FF48">
      <w:numFmt w:val="bullet"/>
      <w:lvlText w:val="-"/>
      <w:lvlJc w:val="left"/>
      <w:pPr>
        <w:ind w:left="165" w:hanging="111"/>
      </w:pPr>
      <w:rPr>
        <w:rFonts w:ascii="Arial" w:eastAsia="Arial" w:hAnsi="Arial" w:cs="Arial" w:hint="default"/>
        <w:spacing w:val="-3"/>
        <w:w w:val="99"/>
        <w:sz w:val="18"/>
        <w:szCs w:val="18"/>
        <w:lang w:val="fr-FR" w:eastAsia="en-US" w:bidi="ar-SA"/>
      </w:rPr>
    </w:lvl>
    <w:lvl w:ilvl="1" w:tplc="01DEE5C8">
      <w:numFmt w:val="bullet"/>
      <w:lvlText w:val="•"/>
      <w:lvlJc w:val="left"/>
      <w:pPr>
        <w:ind w:left="745" w:hanging="111"/>
      </w:pPr>
      <w:rPr>
        <w:lang w:val="fr-FR" w:eastAsia="en-US" w:bidi="ar-SA"/>
      </w:rPr>
    </w:lvl>
    <w:lvl w:ilvl="2" w:tplc="EF202174">
      <w:numFmt w:val="bullet"/>
      <w:lvlText w:val="•"/>
      <w:lvlJc w:val="left"/>
      <w:pPr>
        <w:ind w:left="1330" w:hanging="111"/>
      </w:pPr>
      <w:rPr>
        <w:lang w:val="fr-FR" w:eastAsia="en-US" w:bidi="ar-SA"/>
      </w:rPr>
    </w:lvl>
    <w:lvl w:ilvl="3" w:tplc="AD8C5BC4">
      <w:numFmt w:val="bullet"/>
      <w:lvlText w:val="•"/>
      <w:lvlJc w:val="left"/>
      <w:pPr>
        <w:ind w:left="1915" w:hanging="111"/>
      </w:pPr>
      <w:rPr>
        <w:lang w:val="fr-FR" w:eastAsia="en-US" w:bidi="ar-SA"/>
      </w:rPr>
    </w:lvl>
    <w:lvl w:ilvl="4" w:tplc="DA163138">
      <w:numFmt w:val="bullet"/>
      <w:lvlText w:val="•"/>
      <w:lvlJc w:val="left"/>
      <w:pPr>
        <w:ind w:left="2500" w:hanging="111"/>
      </w:pPr>
      <w:rPr>
        <w:lang w:val="fr-FR" w:eastAsia="en-US" w:bidi="ar-SA"/>
      </w:rPr>
    </w:lvl>
    <w:lvl w:ilvl="5" w:tplc="7E2C0238">
      <w:numFmt w:val="bullet"/>
      <w:lvlText w:val="•"/>
      <w:lvlJc w:val="left"/>
      <w:pPr>
        <w:ind w:left="3085" w:hanging="111"/>
      </w:pPr>
      <w:rPr>
        <w:lang w:val="fr-FR" w:eastAsia="en-US" w:bidi="ar-SA"/>
      </w:rPr>
    </w:lvl>
    <w:lvl w:ilvl="6" w:tplc="64F0A87A">
      <w:numFmt w:val="bullet"/>
      <w:lvlText w:val="•"/>
      <w:lvlJc w:val="left"/>
      <w:pPr>
        <w:ind w:left="3670" w:hanging="111"/>
      </w:pPr>
      <w:rPr>
        <w:lang w:val="fr-FR" w:eastAsia="en-US" w:bidi="ar-SA"/>
      </w:rPr>
    </w:lvl>
    <w:lvl w:ilvl="7" w:tplc="CBDC3066">
      <w:numFmt w:val="bullet"/>
      <w:lvlText w:val="•"/>
      <w:lvlJc w:val="left"/>
      <w:pPr>
        <w:ind w:left="4255" w:hanging="111"/>
      </w:pPr>
      <w:rPr>
        <w:lang w:val="fr-FR" w:eastAsia="en-US" w:bidi="ar-SA"/>
      </w:rPr>
    </w:lvl>
    <w:lvl w:ilvl="8" w:tplc="035EA096">
      <w:numFmt w:val="bullet"/>
      <w:lvlText w:val="•"/>
      <w:lvlJc w:val="left"/>
      <w:pPr>
        <w:ind w:left="4840" w:hanging="111"/>
      </w:pPr>
      <w:rPr>
        <w:lang w:val="fr-FR" w:eastAsia="en-US" w:bidi="ar-SA"/>
      </w:rPr>
    </w:lvl>
  </w:abstractNum>
  <w:abstractNum w:abstractNumId="7" w15:restartNumberingAfterBreak="0">
    <w:nsid w:val="7B4713DA"/>
    <w:multiLevelType w:val="hybridMultilevel"/>
    <w:tmpl w:val="8B607588"/>
    <w:lvl w:ilvl="0" w:tplc="61D0DBA4">
      <w:numFmt w:val="bullet"/>
      <w:lvlText w:val=""/>
      <w:lvlJc w:val="left"/>
      <w:pPr>
        <w:ind w:left="453" w:hanging="347"/>
      </w:pPr>
      <w:rPr>
        <w:rFonts w:ascii="Arial" w:eastAsia="Arial" w:hAnsi="Arial" w:cs="Arial" w:hint="default"/>
        <w:w w:val="118"/>
        <w:sz w:val="24"/>
        <w:szCs w:val="24"/>
        <w:lang w:val="fr-FR" w:eastAsia="en-US" w:bidi="ar-SA"/>
      </w:rPr>
    </w:lvl>
    <w:lvl w:ilvl="1" w:tplc="A3A2F9A0">
      <w:numFmt w:val="bullet"/>
      <w:lvlText w:val="•"/>
      <w:lvlJc w:val="left"/>
      <w:pPr>
        <w:ind w:left="1417" w:hanging="347"/>
      </w:pPr>
      <w:rPr>
        <w:rFonts w:hint="default"/>
        <w:lang w:val="fr-FR" w:eastAsia="en-US" w:bidi="ar-SA"/>
      </w:rPr>
    </w:lvl>
    <w:lvl w:ilvl="2" w:tplc="0C8A8266">
      <w:numFmt w:val="bullet"/>
      <w:lvlText w:val="•"/>
      <w:lvlJc w:val="left"/>
      <w:pPr>
        <w:ind w:left="2374" w:hanging="347"/>
      </w:pPr>
      <w:rPr>
        <w:rFonts w:hint="default"/>
        <w:lang w:val="fr-FR" w:eastAsia="en-US" w:bidi="ar-SA"/>
      </w:rPr>
    </w:lvl>
    <w:lvl w:ilvl="3" w:tplc="144ABFA8">
      <w:numFmt w:val="bullet"/>
      <w:lvlText w:val="•"/>
      <w:lvlJc w:val="left"/>
      <w:pPr>
        <w:ind w:left="3331" w:hanging="347"/>
      </w:pPr>
      <w:rPr>
        <w:rFonts w:hint="default"/>
        <w:lang w:val="fr-FR" w:eastAsia="en-US" w:bidi="ar-SA"/>
      </w:rPr>
    </w:lvl>
    <w:lvl w:ilvl="4" w:tplc="0F36CA24">
      <w:numFmt w:val="bullet"/>
      <w:lvlText w:val="•"/>
      <w:lvlJc w:val="left"/>
      <w:pPr>
        <w:ind w:left="4288" w:hanging="347"/>
      </w:pPr>
      <w:rPr>
        <w:rFonts w:hint="default"/>
        <w:lang w:val="fr-FR" w:eastAsia="en-US" w:bidi="ar-SA"/>
      </w:rPr>
    </w:lvl>
    <w:lvl w:ilvl="5" w:tplc="621C3F08">
      <w:numFmt w:val="bullet"/>
      <w:lvlText w:val="•"/>
      <w:lvlJc w:val="left"/>
      <w:pPr>
        <w:ind w:left="5245" w:hanging="347"/>
      </w:pPr>
      <w:rPr>
        <w:rFonts w:hint="default"/>
        <w:lang w:val="fr-FR" w:eastAsia="en-US" w:bidi="ar-SA"/>
      </w:rPr>
    </w:lvl>
    <w:lvl w:ilvl="6" w:tplc="8496F32E">
      <w:numFmt w:val="bullet"/>
      <w:lvlText w:val="•"/>
      <w:lvlJc w:val="left"/>
      <w:pPr>
        <w:ind w:left="6202" w:hanging="347"/>
      </w:pPr>
      <w:rPr>
        <w:rFonts w:hint="default"/>
        <w:lang w:val="fr-FR" w:eastAsia="en-US" w:bidi="ar-SA"/>
      </w:rPr>
    </w:lvl>
    <w:lvl w:ilvl="7" w:tplc="D9A08252">
      <w:numFmt w:val="bullet"/>
      <w:lvlText w:val="•"/>
      <w:lvlJc w:val="left"/>
      <w:pPr>
        <w:ind w:left="7159" w:hanging="347"/>
      </w:pPr>
      <w:rPr>
        <w:rFonts w:hint="default"/>
        <w:lang w:val="fr-FR" w:eastAsia="en-US" w:bidi="ar-SA"/>
      </w:rPr>
    </w:lvl>
    <w:lvl w:ilvl="8" w:tplc="0B3AF166">
      <w:numFmt w:val="bullet"/>
      <w:lvlText w:val="•"/>
      <w:lvlJc w:val="left"/>
      <w:pPr>
        <w:ind w:left="8116" w:hanging="347"/>
      </w:pPr>
      <w:rPr>
        <w:rFonts w:hint="default"/>
        <w:lang w:val="fr-FR" w:eastAsia="en-US" w:bidi="ar-SA"/>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6D"/>
    <w:rsid w:val="00013CE2"/>
    <w:rsid w:val="00024BF3"/>
    <w:rsid w:val="00027438"/>
    <w:rsid w:val="0004786D"/>
    <w:rsid w:val="00075183"/>
    <w:rsid w:val="00097D82"/>
    <w:rsid w:val="000A2541"/>
    <w:rsid w:val="000B7174"/>
    <w:rsid w:val="000C6E5F"/>
    <w:rsid w:val="000E06C0"/>
    <w:rsid w:val="000E2742"/>
    <w:rsid w:val="00113AAE"/>
    <w:rsid w:val="00133C6E"/>
    <w:rsid w:val="00165AC5"/>
    <w:rsid w:val="001815A7"/>
    <w:rsid w:val="00184DF3"/>
    <w:rsid w:val="001870CE"/>
    <w:rsid w:val="00192B78"/>
    <w:rsid w:val="001A408A"/>
    <w:rsid w:val="001D5AC6"/>
    <w:rsid w:val="001D5D17"/>
    <w:rsid w:val="001D68CC"/>
    <w:rsid w:val="001D6C47"/>
    <w:rsid w:val="001D6CBD"/>
    <w:rsid w:val="001F1F67"/>
    <w:rsid w:val="001F6067"/>
    <w:rsid w:val="00207080"/>
    <w:rsid w:val="002113C3"/>
    <w:rsid w:val="00255593"/>
    <w:rsid w:val="00263ACE"/>
    <w:rsid w:val="0027097F"/>
    <w:rsid w:val="002B21A0"/>
    <w:rsid w:val="002E2637"/>
    <w:rsid w:val="002E429A"/>
    <w:rsid w:val="002F3499"/>
    <w:rsid w:val="0030563F"/>
    <w:rsid w:val="003154CB"/>
    <w:rsid w:val="0032098B"/>
    <w:rsid w:val="0032735C"/>
    <w:rsid w:val="00341D39"/>
    <w:rsid w:val="00370737"/>
    <w:rsid w:val="0039288B"/>
    <w:rsid w:val="0041408D"/>
    <w:rsid w:val="00417745"/>
    <w:rsid w:val="0042072F"/>
    <w:rsid w:val="004327F8"/>
    <w:rsid w:val="00446C0B"/>
    <w:rsid w:val="004D1E29"/>
    <w:rsid w:val="004D2231"/>
    <w:rsid w:val="004F7F39"/>
    <w:rsid w:val="005220B2"/>
    <w:rsid w:val="00533320"/>
    <w:rsid w:val="00575E69"/>
    <w:rsid w:val="005827BA"/>
    <w:rsid w:val="00592A43"/>
    <w:rsid w:val="005D2809"/>
    <w:rsid w:val="00607C6C"/>
    <w:rsid w:val="00611A2F"/>
    <w:rsid w:val="0064781E"/>
    <w:rsid w:val="00683C33"/>
    <w:rsid w:val="0069016A"/>
    <w:rsid w:val="00694BA4"/>
    <w:rsid w:val="006A21B5"/>
    <w:rsid w:val="006B448A"/>
    <w:rsid w:val="006C4673"/>
    <w:rsid w:val="006D3E3D"/>
    <w:rsid w:val="006D49C7"/>
    <w:rsid w:val="006F2078"/>
    <w:rsid w:val="00700554"/>
    <w:rsid w:val="00704E4D"/>
    <w:rsid w:val="00707511"/>
    <w:rsid w:val="00711562"/>
    <w:rsid w:val="00736DBC"/>
    <w:rsid w:val="00744639"/>
    <w:rsid w:val="007479E2"/>
    <w:rsid w:val="00756817"/>
    <w:rsid w:val="00793945"/>
    <w:rsid w:val="007D4CA3"/>
    <w:rsid w:val="0080095C"/>
    <w:rsid w:val="00851173"/>
    <w:rsid w:val="00855E98"/>
    <w:rsid w:val="00876A19"/>
    <w:rsid w:val="008822E1"/>
    <w:rsid w:val="00896430"/>
    <w:rsid w:val="008A779C"/>
    <w:rsid w:val="008B67C7"/>
    <w:rsid w:val="008D3ED5"/>
    <w:rsid w:val="008D7E25"/>
    <w:rsid w:val="00930C3D"/>
    <w:rsid w:val="00933EE9"/>
    <w:rsid w:val="00937273"/>
    <w:rsid w:val="0093779B"/>
    <w:rsid w:val="0094536F"/>
    <w:rsid w:val="00951E22"/>
    <w:rsid w:val="00964971"/>
    <w:rsid w:val="009728A4"/>
    <w:rsid w:val="00986E3C"/>
    <w:rsid w:val="009957B3"/>
    <w:rsid w:val="009A20E6"/>
    <w:rsid w:val="009A2EFA"/>
    <w:rsid w:val="009B00F2"/>
    <w:rsid w:val="009D0284"/>
    <w:rsid w:val="009F5BAE"/>
    <w:rsid w:val="00A4029A"/>
    <w:rsid w:val="00A62BA4"/>
    <w:rsid w:val="00A9113F"/>
    <w:rsid w:val="00B00DD3"/>
    <w:rsid w:val="00B0133A"/>
    <w:rsid w:val="00B03184"/>
    <w:rsid w:val="00B4188E"/>
    <w:rsid w:val="00B76293"/>
    <w:rsid w:val="00B9443B"/>
    <w:rsid w:val="00BA0196"/>
    <w:rsid w:val="00BD2D91"/>
    <w:rsid w:val="00BF655A"/>
    <w:rsid w:val="00C22935"/>
    <w:rsid w:val="00C230AC"/>
    <w:rsid w:val="00C462F6"/>
    <w:rsid w:val="00C515CD"/>
    <w:rsid w:val="00C7013B"/>
    <w:rsid w:val="00C92F68"/>
    <w:rsid w:val="00CC5B7D"/>
    <w:rsid w:val="00CF6B52"/>
    <w:rsid w:val="00D02442"/>
    <w:rsid w:val="00D030DF"/>
    <w:rsid w:val="00D21E36"/>
    <w:rsid w:val="00D2639A"/>
    <w:rsid w:val="00D46AB3"/>
    <w:rsid w:val="00D94951"/>
    <w:rsid w:val="00D976D4"/>
    <w:rsid w:val="00DD07F5"/>
    <w:rsid w:val="00DD2257"/>
    <w:rsid w:val="00E015FD"/>
    <w:rsid w:val="00E73367"/>
    <w:rsid w:val="00E83127"/>
    <w:rsid w:val="00ED324D"/>
    <w:rsid w:val="00F074CE"/>
    <w:rsid w:val="00F11C36"/>
    <w:rsid w:val="00F15A3F"/>
    <w:rsid w:val="00F24458"/>
    <w:rsid w:val="00F92834"/>
    <w:rsid w:val="00F97589"/>
    <w:rsid w:val="00FB4C5D"/>
    <w:rsid w:val="00FC32C3"/>
    <w:rsid w:val="00FC4A97"/>
    <w:rsid w:val="00FE3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9D32"/>
  <w15:chartTrackingRefBased/>
  <w15:docId w15:val="{39BCDAF3-DBA9-4BE2-B712-E91C74D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FE341B"/>
    <w:pPr>
      <w:widowControl w:val="0"/>
      <w:autoSpaceDE w:val="0"/>
      <w:autoSpaceDN w:val="0"/>
      <w:spacing w:before="7" w:after="0" w:line="240" w:lineRule="auto"/>
      <w:ind w:left="453" w:hanging="347"/>
    </w:pPr>
    <w:rPr>
      <w:rFonts w:ascii="Arial" w:eastAsia="Arial" w:hAnsi="Arial" w:cs="Arial"/>
      <w:sz w:val="22"/>
    </w:rPr>
  </w:style>
  <w:style w:type="character" w:styleId="Lienhypertexte">
    <w:name w:val="Hyperlink"/>
    <w:basedOn w:val="Policepardfaut"/>
    <w:uiPriority w:val="99"/>
    <w:unhideWhenUsed/>
    <w:rsid w:val="00FE341B"/>
    <w:rPr>
      <w:color w:val="0563C1" w:themeColor="hyperlink"/>
      <w:u w:val="single"/>
    </w:rPr>
  </w:style>
  <w:style w:type="paragraph" w:styleId="En-tte">
    <w:name w:val="header"/>
    <w:basedOn w:val="Normal"/>
    <w:link w:val="En-tteCar"/>
    <w:uiPriority w:val="99"/>
    <w:unhideWhenUsed/>
    <w:rsid w:val="001A408A"/>
    <w:pPr>
      <w:tabs>
        <w:tab w:val="center" w:pos="4536"/>
        <w:tab w:val="right" w:pos="9072"/>
      </w:tabs>
      <w:spacing w:after="0" w:line="240" w:lineRule="auto"/>
    </w:pPr>
  </w:style>
  <w:style w:type="character" w:customStyle="1" w:styleId="En-tteCar">
    <w:name w:val="En-tête Car"/>
    <w:basedOn w:val="Policepardfaut"/>
    <w:link w:val="En-tte"/>
    <w:uiPriority w:val="99"/>
    <w:rsid w:val="001A408A"/>
  </w:style>
  <w:style w:type="paragraph" w:styleId="Pieddepage">
    <w:name w:val="footer"/>
    <w:basedOn w:val="Normal"/>
    <w:link w:val="PieddepageCar"/>
    <w:uiPriority w:val="99"/>
    <w:unhideWhenUsed/>
    <w:rsid w:val="001A4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08A"/>
  </w:style>
  <w:style w:type="table" w:customStyle="1" w:styleId="NormalTable0">
    <w:name w:val="Normal Table0"/>
    <w:uiPriority w:val="2"/>
    <w:semiHidden/>
    <w:unhideWhenUsed/>
    <w:qFormat/>
    <w:rsid w:val="006D3E3D"/>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semiHidden/>
    <w:unhideWhenUsed/>
    <w:qFormat/>
    <w:rsid w:val="00855E98"/>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semiHidden/>
    <w:rsid w:val="00855E98"/>
    <w:rPr>
      <w:rFonts w:ascii="Arial" w:eastAsia="Arial" w:hAnsi="Arial" w:cs="Arial"/>
      <w:sz w:val="18"/>
      <w:szCs w:val="18"/>
    </w:rPr>
  </w:style>
  <w:style w:type="character" w:styleId="Marquedecommentaire">
    <w:name w:val="annotation reference"/>
    <w:basedOn w:val="Policepardfaut"/>
    <w:uiPriority w:val="99"/>
    <w:semiHidden/>
    <w:unhideWhenUsed/>
    <w:rsid w:val="00793945"/>
    <w:rPr>
      <w:sz w:val="16"/>
      <w:szCs w:val="16"/>
    </w:rPr>
  </w:style>
  <w:style w:type="paragraph" w:styleId="Commentaire">
    <w:name w:val="annotation text"/>
    <w:basedOn w:val="Normal"/>
    <w:link w:val="CommentaireCar"/>
    <w:uiPriority w:val="99"/>
    <w:semiHidden/>
    <w:unhideWhenUsed/>
    <w:rsid w:val="00793945"/>
    <w:pPr>
      <w:spacing w:line="240" w:lineRule="auto"/>
    </w:pPr>
    <w:rPr>
      <w:szCs w:val="20"/>
    </w:rPr>
  </w:style>
  <w:style w:type="character" w:customStyle="1" w:styleId="CommentaireCar">
    <w:name w:val="Commentaire Car"/>
    <w:basedOn w:val="Policepardfaut"/>
    <w:link w:val="Commentaire"/>
    <w:uiPriority w:val="99"/>
    <w:semiHidden/>
    <w:rsid w:val="00793945"/>
    <w:rPr>
      <w:szCs w:val="20"/>
    </w:rPr>
  </w:style>
  <w:style w:type="paragraph" w:styleId="Objetducommentaire">
    <w:name w:val="annotation subject"/>
    <w:basedOn w:val="Commentaire"/>
    <w:next w:val="Commentaire"/>
    <w:link w:val="ObjetducommentaireCar"/>
    <w:uiPriority w:val="99"/>
    <w:semiHidden/>
    <w:unhideWhenUsed/>
    <w:rsid w:val="00793945"/>
    <w:rPr>
      <w:b/>
      <w:bCs/>
    </w:rPr>
  </w:style>
  <w:style w:type="character" w:customStyle="1" w:styleId="ObjetducommentaireCar">
    <w:name w:val="Objet du commentaire Car"/>
    <w:basedOn w:val="CommentaireCar"/>
    <w:link w:val="Objetducommentaire"/>
    <w:uiPriority w:val="99"/>
    <w:semiHidden/>
    <w:rsid w:val="00793945"/>
    <w:rPr>
      <w:b/>
      <w:bCs/>
      <w:szCs w:val="20"/>
    </w:rPr>
  </w:style>
  <w:style w:type="paragraph" w:styleId="Textedebulles">
    <w:name w:val="Balloon Text"/>
    <w:basedOn w:val="Normal"/>
    <w:link w:val="TextedebullesCar"/>
    <w:uiPriority w:val="99"/>
    <w:semiHidden/>
    <w:unhideWhenUsed/>
    <w:rsid w:val="007939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945"/>
    <w:rPr>
      <w:rFonts w:ascii="Segoe UI" w:hAnsi="Segoe UI" w:cs="Segoe UI"/>
      <w:sz w:val="18"/>
      <w:szCs w:val="18"/>
    </w:rPr>
  </w:style>
  <w:style w:type="paragraph" w:styleId="Paragraphedeliste">
    <w:name w:val="List Paragraph"/>
    <w:basedOn w:val="Normal"/>
    <w:uiPriority w:val="34"/>
    <w:qFormat/>
    <w:rsid w:val="000A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6269">
      <w:bodyDiv w:val="1"/>
      <w:marLeft w:val="0"/>
      <w:marRight w:val="0"/>
      <w:marTop w:val="0"/>
      <w:marBottom w:val="0"/>
      <w:divBdr>
        <w:top w:val="none" w:sz="0" w:space="0" w:color="auto"/>
        <w:left w:val="none" w:sz="0" w:space="0" w:color="auto"/>
        <w:bottom w:val="none" w:sz="0" w:space="0" w:color="auto"/>
        <w:right w:val="none" w:sz="0" w:space="0" w:color="auto"/>
      </w:divBdr>
    </w:div>
    <w:div w:id="130903865">
      <w:bodyDiv w:val="1"/>
      <w:marLeft w:val="0"/>
      <w:marRight w:val="0"/>
      <w:marTop w:val="0"/>
      <w:marBottom w:val="0"/>
      <w:divBdr>
        <w:top w:val="none" w:sz="0" w:space="0" w:color="auto"/>
        <w:left w:val="none" w:sz="0" w:space="0" w:color="auto"/>
        <w:bottom w:val="none" w:sz="0" w:space="0" w:color="auto"/>
        <w:right w:val="none" w:sz="0" w:space="0" w:color="auto"/>
      </w:divBdr>
    </w:div>
    <w:div w:id="197470108">
      <w:bodyDiv w:val="1"/>
      <w:marLeft w:val="0"/>
      <w:marRight w:val="0"/>
      <w:marTop w:val="0"/>
      <w:marBottom w:val="0"/>
      <w:divBdr>
        <w:top w:val="none" w:sz="0" w:space="0" w:color="auto"/>
        <w:left w:val="none" w:sz="0" w:space="0" w:color="auto"/>
        <w:bottom w:val="none" w:sz="0" w:space="0" w:color="auto"/>
        <w:right w:val="none" w:sz="0" w:space="0" w:color="auto"/>
      </w:divBdr>
    </w:div>
    <w:div w:id="1715160109">
      <w:bodyDiv w:val="1"/>
      <w:marLeft w:val="0"/>
      <w:marRight w:val="0"/>
      <w:marTop w:val="0"/>
      <w:marBottom w:val="0"/>
      <w:divBdr>
        <w:top w:val="none" w:sz="0" w:space="0" w:color="auto"/>
        <w:left w:val="none" w:sz="0" w:space="0" w:color="auto"/>
        <w:bottom w:val="none" w:sz="0" w:space="0" w:color="auto"/>
        <w:right w:val="none" w:sz="0" w:space="0" w:color="auto"/>
      </w:divBdr>
    </w:div>
    <w:div w:id="17730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ts.gouv.fr/portail/formulaire/1301-sd/tva-attestation-simplifiee-taux-reduit-pour-travaux-logements-de-plus-de-2-ans" TargetMode="External"/><Relationship Id="rId3" Type="http://schemas.openxmlformats.org/officeDocument/2006/relationships/settings" Target="settings.xml"/><Relationship Id="rId7" Type="http://schemas.openxmlformats.org/officeDocument/2006/relationships/hyperlink" Target="https://www.impots.gouv.fr/portail/formulaire/1300-sd/tva-attestation-normale-taux-reduit-pour-travaux-logements-de-plus-de-2-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1637</Words>
  <Characters>9008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AUBERT</dc:creator>
  <cp:keywords/>
  <dc:description/>
  <cp:lastModifiedBy>Florence AUBERT</cp:lastModifiedBy>
  <cp:revision>3</cp:revision>
  <dcterms:created xsi:type="dcterms:W3CDTF">2021-03-25T14:39:00Z</dcterms:created>
  <dcterms:modified xsi:type="dcterms:W3CDTF">2021-03-25T14:40:00Z</dcterms:modified>
</cp:coreProperties>
</file>