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3" w:rsidRDefault="0012483D" w:rsidP="00201533">
      <w:pPr>
        <w:jc w:val="center"/>
        <w:rPr>
          <w:b/>
          <w:sz w:val="28"/>
          <w:szCs w:val="28"/>
          <w:u w:val="single"/>
        </w:rPr>
      </w:pPr>
      <w:r w:rsidRPr="0012483D">
        <w:rPr>
          <w:b/>
          <w:sz w:val="28"/>
          <w:szCs w:val="28"/>
          <w:u w:val="single"/>
        </w:rPr>
        <w:t>DECRET D’APPLICATION DU 30 DECEMBRE 2014</w:t>
      </w:r>
    </w:p>
    <w:p w:rsidR="0012483D" w:rsidRDefault="00201533" w:rsidP="002015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="0012483D">
        <w:rPr>
          <w:b/>
          <w:sz w:val="28"/>
          <w:szCs w:val="28"/>
        </w:rPr>
        <w:t>e</w:t>
      </w:r>
      <w:proofErr w:type="gramEnd"/>
      <w:r w:rsidR="0012483D">
        <w:rPr>
          <w:b/>
          <w:sz w:val="28"/>
          <w:szCs w:val="28"/>
        </w:rPr>
        <w:t xml:space="preserve"> la loi du 1</w:t>
      </w:r>
      <w:r w:rsidR="0012483D" w:rsidRPr="0012483D">
        <w:rPr>
          <w:b/>
          <w:sz w:val="28"/>
          <w:szCs w:val="28"/>
          <w:vertAlign w:val="superscript"/>
        </w:rPr>
        <w:t>er</w:t>
      </w:r>
      <w:r w:rsidR="0012483D">
        <w:rPr>
          <w:b/>
          <w:sz w:val="28"/>
          <w:szCs w:val="28"/>
        </w:rPr>
        <w:t xml:space="preserve"> octobre 2014</w:t>
      </w:r>
    </w:p>
    <w:p w:rsidR="0012483D" w:rsidRDefault="0012483D" w:rsidP="0012483D">
      <w:pPr>
        <w:jc w:val="both"/>
        <w:rPr>
          <w:sz w:val="28"/>
          <w:szCs w:val="28"/>
        </w:rPr>
      </w:pPr>
      <w:r w:rsidRPr="0012483D">
        <w:rPr>
          <w:sz w:val="28"/>
          <w:szCs w:val="28"/>
        </w:rPr>
        <w:t xml:space="preserve">Obligation de ne pas stationner plus d’une </w:t>
      </w:r>
      <w:r>
        <w:rPr>
          <w:sz w:val="28"/>
          <w:szCs w:val="28"/>
        </w:rPr>
        <w:t>heure avant la prise en charge souhaitée par le client aux abords des gares et aéroports, sauf si ils font partie de la commune de rattachement</w:t>
      </w:r>
      <w:r w:rsidR="00201533">
        <w:rPr>
          <w:sz w:val="28"/>
          <w:szCs w:val="28"/>
        </w:rPr>
        <w:t>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 de TPE Terminal de Paiement Electronique : la sanction prévue est une amende de 3</w:t>
      </w:r>
      <w:r w:rsidRPr="0012483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classe (450 € au plus). Sur ce point le Ministère a promis une tolérance des pouvoirs publics. Nous négocions actuellement l’offre commerciale la moins onéreuse que nous vous présenterons dès que possible.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Obligation pour le maire de délivrer une nouvelle autorisation de stationnement dans le délai de 3 mois en cas d’augmentation du nombre d’ADS admises à être exploitées, de retrait d’une ADS ou de non renouvellement d’une nouvelle ADS incessible.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La délivrance des nouvelles ADS et leur renouvellement peuvent donner lieu à des sujétions : aménagement TPMR du véhicule, véhicule hybride ou contraintes horaires ou de lieux de stationnement.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Le renouvellement des nouvelles ADS – valables 5 ans – doit faire l’objet d’une demande du titulaire 3 mois avant le terme.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Autorisation de refus de prise en charge pour une destination extérieure à la commune de rattachement.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>La conduite du taxi sans être titulaire d’une carte professionnelle cesse d’être un délit pour ne plus être sanctionnée que d’une contravention de 5</w:t>
      </w:r>
      <w:r w:rsidRPr="0012483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classe.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Nouveaux critères d’inscription sur liste d’attente - être titulaire de la carte professionnelle et ne pas être déjà titulaire d’une ADS – deviennent applicables et les listes vont être révisées en conséquence. </w:t>
      </w:r>
    </w:p>
    <w:p w:rsidR="0012483D" w:rsidRDefault="0012483D" w:rsidP="00124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Justificatif d’assurance mentionnant la garantie couvrant le transport de personnes effectué à titre onéreux. </w:t>
      </w:r>
    </w:p>
    <w:p w:rsidR="00201533" w:rsidRPr="00201533" w:rsidRDefault="00201533" w:rsidP="00201533">
      <w:pPr>
        <w:jc w:val="center"/>
        <w:rPr>
          <w:sz w:val="32"/>
          <w:szCs w:val="32"/>
          <w:u w:val="single"/>
        </w:rPr>
      </w:pPr>
      <w:r w:rsidRPr="00201533">
        <w:rPr>
          <w:sz w:val="32"/>
          <w:szCs w:val="32"/>
          <w:u w:val="single"/>
        </w:rPr>
        <w:t>Délais d’application</w:t>
      </w:r>
    </w:p>
    <w:p w:rsidR="00201533" w:rsidRPr="00201533" w:rsidRDefault="00201533" w:rsidP="00201533">
      <w:pPr>
        <w:jc w:val="both"/>
        <w:rPr>
          <w:b/>
          <w:sz w:val="28"/>
          <w:szCs w:val="28"/>
        </w:rPr>
      </w:pPr>
      <w:r w:rsidRPr="00201533">
        <w:rPr>
          <w:b/>
          <w:sz w:val="28"/>
          <w:szCs w:val="28"/>
        </w:rPr>
        <w:t>Justificatif d’assurance</w:t>
      </w:r>
      <w:r>
        <w:rPr>
          <w:sz w:val="28"/>
          <w:szCs w:val="28"/>
        </w:rPr>
        <w:t xml:space="preserve"> pour le transport particulier à titre onéreux : </w:t>
      </w:r>
      <w:r w:rsidRPr="00201533">
        <w:rPr>
          <w:b/>
          <w:sz w:val="28"/>
          <w:szCs w:val="28"/>
        </w:rPr>
        <w:t>1</w:t>
      </w:r>
      <w:r w:rsidRPr="00201533">
        <w:rPr>
          <w:b/>
          <w:sz w:val="28"/>
          <w:szCs w:val="28"/>
          <w:vertAlign w:val="superscript"/>
        </w:rPr>
        <w:t>er</w:t>
      </w:r>
      <w:r w:rsidRPr="00201533">
        <w:rPr>
          <w:b/>
          <w:sz w:val="28"/>
          <w:szCs w:val="28"/>
        </w:rPr>
        <w:t xml:space="preserve"> juillet 2015</w:t>
      </w:r>
    </w:p>
    <w:p w:rsidR="00201533" w:rsidRPr="00201533" w:rsidRDefault="00201533" w:rsidP="00201533">
      <w:pPr>
        <w:jc w:val="both"/>
        <w:rPr>
          <w:b/>
          <w:sz w:val="28"/>
          <w:szCs w:val="28"/>
        </w:rPr>
      </w:pPr>
      <w:r w:rsidRPr="00201533">
        <w:rPr>
          <w:b/>
          <w:sz w:val="28"/>
          <w:szCs w:val="28"/>
        </w:rPr>
        <w:t>Obligation d’exploitation personnel</w:t>
      </w:r>
      <w:r>
        <w:rPr>
          <w:sz w:val="28"/>
          <w:szCs w:val="28"/>
        </w:rPr>
        <w:t>le des nouvelles ADS </w:t>
      </w:r>
      <w:proofErr w:type="gramStart"/>
      <w:r>
        <w:rPr>
          <w:sz w:val="28"/>
          <w:szCs w:val="28"/>
        </w:rPr>
        <w:t>:</w:t>
      </w:r>
      <w:r w:rsidRPr="00201533">
        <w:rPr>
          <w:b/>
          <w:sz w:val="28"/>
          <w:szCs w:val="28"/>
        </w:rPr>
        <w:t>1</w:t>
      </w:r>
      <w:r w:rsidRPr="00201533">
        <w:rPr>
          <w:b/>
          <w:sz w:val="28"/>
          <w:szCs w:val="28"/>
          <w:vertAlign w:val="superscript"/>
        </w:rPr>
        <w:t>er</w:t>
      </w:r>
      <w:proofErr w:type="gramEnd"/>
      <w:r w:rsidRPr="00201533">
        <w:rPr>
          <w:b/>
          <w:sz w:val="28"/>
          <w:szCs w:val="28"/>
        </w:rPr>
        <w:t xml:space="preserve"> janvier 2017</w:t>
      </w:r>
    </w:p>
    <w:p w:rsidR="00201533" w:rsidRPr="00201533" w:rsidRDefault="00201533" w:rsidP="002015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Généralisation de la </w:t>
      </w:r>
      <w:r w:rsidRPr="00201533">
        <w:rPr>
          <w:b/>
          <w:sz w:val="28"/>
          <w:szCs w:val="28"/>
        </w:rPr>
        <w:t>location-gérance</w:t>
      </w:r>
      <w:r>
        <w:rPr>
          <w:sz w:val="28"/>
          <w:szCs w:val="28"/>
        </w:rPr>
        <w:t xml:space="preserve"> : </w:t>
      </w:r>
      <w:r w:rsidRPr="00201533">
        <w:rPr>
          <w:b/>
          <w:sz w:val="28"/>
          <w:szCs w:val="28"/>
        </w:rPr>
        <w:t>1</w:t>
      </w:r>
      <w:r w:rsidRPr="00201533">
        <w:rPr>
          <w:b/>
          <w:sz w:val="28"/>
          <w:szCs w:val="28"/>
          <w:vertAlign w:val="superscript"/>
        </w:rPr>
        <w:t>er</w:t>
      </w:r>
      <w:r w:rsidRPr="00201533">
        <w:rPr>
          <w:b/>
          <w:sz w:val="28"/>
          <w:szCs w:val="28"/>
        </w:rPr>
        <w:t xml:space="preserve"> janvier 2017</w:t>
      </w:r>
    </w:p>
    <w:p w:rsidR="0012483D" w:rsidRPr="0012483D" w:rsidRDefault="0012483D" w:rsidP="0012483D">
      <w:pPr>
        <w:jc w:val="center"/>
        <w:rPr>
          <w:b/>
          <w:sz w:val="28"/>
          <w:szCs w:val="28"/>
        </w:rPr>
      </w:pPr>
    </w:p>
    <w:sectPr w:rsidR="0012483D" w:rsidRPr="0012483D" w:rsidSect="002015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8A7"/>
    <w:multiLevelType w:val="hybridMultilevel"/>
    <w:tmpl w:val="A0A44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12483D"/>
    <w:rsid w:val="0012483D"/>
    <w:rsid w:val="00201533"/>
    <w:rsid w:val="00280DB9"/>
    <w:rsid w:val="0053358D"/>
    <w:rsid w:val="009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2015-01-06T08:27:00Z</dcterms:created>
  <dcterms:modified xsi:type="dcterms:W3CDTF">2015-01-06T08:43:00Z</dcterms:modified>
</cp:coreProperties>
</file>